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                                                                              УТВЕРЖДЕНА</w:t>
      </w:r>
      <w:r/>
    </w:p>
    <w:p>
      <w:pPr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</w:r>
      <w:r/>
    </w:p>
    <w:p>
      <w:pPr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                                                                              </w:t>
      </w:r>
      <w:r>
        <w:rPr>
          <w:color w:val="auto"/>
          <w:sz w:val="26"/>
          <w:szCs w:val="26"/>
        </w:rPr>
        <w:t xml:space="preserve">распоряжением</w:t>
      </w:r>
      <w:r>
        <w:rPr>
          <w:color w:val="auto"/>
          <w:sz w:val="26"/>
          <w:szCs w:val="26"/>
        </w:rPr>
        <w:t xml:space="preserve"> администрации </w:t>
      </w:r>
      <w:r>
        <w:rPr>
          <w:color w:val="auto"/>
          <w:sz w:val="26"/>
          <w:szCs w:val="26"/>
        </w:rPr>
        <w:tab/>
      </w:r>
      <w:r>
        <w:rPr>
          <w:color w:val="auto"/>
          <w:sz w:val="26"/>
          <w:szCs w:val="26"/>
        </w:rPr>
        <w:tab/>
      </w:r>
      <w:r>
        <w:rPr>
          <w:color w:val="auto"/>
          <w:sz w:val="26"/>
          <w:szCs w:val="26"/>
        </w:rPr>
        <w:tab/>
      </w:r>
      <w:r>
        <w:rPr>
          <w:color w:val="auto"/>
          <w:sz w:val="26"/>
          <w:szCs w:val="26"/>
        </w:rPr>
        <w:tab/>
      </w:r>
      <w:r>
        <w:rPr>
          <w:color w:val="auto"/>
          <w:sz w:val="26"/>
          <w:szCs w:val="26"/>
        </w:rPr>
        <w:tab/>
      </w:r>
      <w:r>
        <w:rPr>
          <w:color w:val="auto"/>
          <w:sz w:val="26"/>
          <w:szCs w:val="26"/>
        </w:rPr>
        <w:tab/>
      </w:r>
      <w:r>
        <w:rPr>
          <w:color w:val="auto"/>
          <w:sz w:val="26"/>
          <w:szCs w:val="26"/>
        </w:rPr>
        <w:tab/>
      </w:r>
      <w:r>
        <w:rPr>
          <w:color w:val="auto"/>
          <w:sz w:val="26"/>
          <w:szCs w:val="26"/>
        </w:rPr>
        <w:tab/>
        <w:t xml:space="preserve">            </w:t>
      </w:r>
      <w:r>
        <w:rPr>
          <w:color w:val="auto"/>
          <w:sz w:val="26"/>
          <w:szCs w:val="26"/>
        </w:rPr>
        <w:t xml:space="preserve"> Копейского</w:t>
      </w:r>
      <w:r>
        <w:rPr>
          <w:color w:val="auto"/>
          <w:sz w:val="26"/>
          <w:szCs w:val="26"/>
        </w:rPr>
        <w:t xml:space="preserve"> городского округа</w:t>
      </w:r>
      <w:r/>
    </w:p>
    <w:p>
      <w:pPr>
        <w:jc w:val="righ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                                                                                                      </w:t>
      </w:r>
      <w:r>
        <w:rPr>
          <w:color w:val="auto"/>
          <w:sz w:val="26"/>
          <w:szCs w:val="26"/>
        </w:rPr>
        <w:t xml:space="preserve">от</w:t>
      </w:r>
      <w:r>
        <w:rPr>
          <w:color w:val="auto"/>
          <w:sz w:val="26"/>
          <w:szCs w:val="26"/>
        </w:rPr>
        <w:t xml:space="preserve">_______________№______________</w:t>
      </w:r>
      <w:r/>
    </w:p>
    <w:p>
      <w:pPr>
        <w:tabs>
          <w:tab w:val="center" w:pos="4677" w:leader="none"/>
          <w:tab w:val="right" w:pos="9355" w:leader="none"/>
        </w:tabs>
        <w:rPr>
          <w:color w:val="auto"/>
          <w:sz w:val="26"/>
          <w:szCs w:val="26"/>
        </w:rPr>
        <w:outlineLvl w:val="0"/>
      </w:pPr>
      <w:r>
        <w:rPr>
          <w:color w:val="auto"/>
          <w:sz w:val="26"/>
          <w:szCs w:val="26"/>
        </w:rPr>
        <w:tab/>
      </w:r>
      <w:r>
        <w:rPr>
          <w:color w:val="auto"/>
          <w:sz w:val="26"/>
          <w:szCs w:val="26"/>
        </w:rPr>
        <w:t xml:space="preserve">                                                        </w:t>
      </w:r>
      <w:r>
        <w:rPr>
          <w:color w:val="auto"/>
          <w:sz w:val="26"/>
          <w:szCs w:val="26"/>
        </w:rPr>
        <w:tab/>
      </w:r>
      <w:r/>
    </w:p>
    <w:p>
      <w:pPr>
        <w:jc w:val="center"/>
        <w:rPr>
          <w:color w:val="auto"/>
          <w:sz w:val="26"/>
          <w:szCs w:val="26"/>
        </w:rPr>
        <w:outlineLvl w:val="0"/>
      </w:pPr>
      <w:r>
        <w:rPr>
          <w:color w:val="auto"/>
          <w:sz w:val="26"/>
          <w:szCs w:val="26"/>
        </w:rPr>
      </w:r>
      <w:r/>
    </w:p>
    <w:p>
      <w:pPr>
        <w:jc w:val="center"/>
        <w:rPr>
          <w:color w:val="auto"/>
          <w:sz w:val="26"/>
          <w:szCs w:val="26"/>
        </w:rPr>
        <w:outlineLvl w:val="0"/>
      </w:pPr>
      <w:r>
        <w:rPr>
          <w:color w:val="auto"/>
          <w:sz w:val="26"/>
          <w:szCs w:val="26"/>
        </w:rPr>
      </w:r>
      <w:r/>
    </w:p>
    <w:p>
      <w:pPr>
        <w:pStyle w:val="95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950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Муниципальная программа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5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«Переселение граждан из жилищного фонда, признанного непригодным для проживания в Копейском городском округе»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color w:val="auto"/>
          <w:sz w:val="26"/>
          <w:szCs w:val="26"/>
          <w:highlight w:val="none"/>
        </w:rPr>
      </w:r>
      <w:r/>
    </w:p>
    <w:p>
      <w:pPr>
        <w:ind w:firstLine="709"/>
        <w:jc w:val="center"/>
        <w:rPr>
          <w:rFonts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color w:val="auto"/>
          <w:sz w:val="26"/>
          <w:szCs w:val="26"/>
          <w:highlight w:val="none"/>
        </w:rPr>
      </w:r>
      <w:r/>
    </w:p>
    <w:p>
      <w:pPr>
        <w:ind w:firstLine="709"/>
        <w:jc w:val="center"/>
        <w:rPr>
          <w:rFonts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color w:val="auto"/>
          <w:sz w:val="26"/>
          <w:szCs w:val="26"/>
          <w:lang w:val="en-US"/>
        </w:rPr>
        <w:t xml:space="preserve">I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. Оценка текущего состояния аварийного и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непригодного жилищного фонда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на территории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Копейско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го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городско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го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округ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а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57"/>
        <w:numPr>
          <w:ilvl w:val="0"/>
          <w:numId w:val="32"/>
        </w:numPr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Обеспечение доступным и комфортным жильем остается одним из самых актуальных вопросов для большинства граждан Российской Федерации, в том числе и для жителей Копейского городского округа.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57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Одним из приоритетов национальной жилищной политики Российской Федерации является обеспечение граждан безопасными и комфортными условиями проживания.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57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До конца 2030 года планируется снизить суммарную площадь жилищного фонда, признанного непригодным для проживания, и жилищного фонда с высоким уровнем износа (более 70 процентов), внести 100 процентов аварийного жилого фонда в цифровой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реестр аварийного жилья. 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57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Основным фактором, препятствующим устойчивому сокращению непригодного для проживания жилищного фонда, является ежегодный прирост и, соответственно, накопление жилищного фонда, который признается аварийным по итогам его обследования.</w:t>
      </w:r>
      <w:r>
        <w:rPr>
          <w:rFonts w:ascii="Times New Roman" w:hAnsi="Times New Roman" w:cs="Times New Roman"/>
          <w:color w:val="auto"/>
          <w:sz w:val="26"/>
          <w:szCs w:val="26"/>
        </w:rPr>
      </w:r>
      <w:r/>
    </w:p>
    <w:p>
      <w:pPr>
        <w:pStyle w:val="957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</w:r>
      <w:r>
        <w:rPr>
          <w:rFonts w:ascii="Times New Roman" w:hAnsi="Times New Roman" w:cs="Times New Roman"/>
          <w:color w:val="auto"/>
          <w:sz w:val="26"/>
          <w:szCs w:val="26"/>
        </w:rPr>
      </w:r>
      <w:r/>
    </w:p>
    <w:p>
      <w:pPr>
        <w:pStyle w:val="95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  <w:lang w:val="en-US"/>
        </w:rPr>
        <w:t xml:space="preserve">I</w:t>
      </w:r>
      <w:r>
        <w:rPr>
          <w:rFonts w:ascii="Times New Roman" w:hAnsi="Times New Roman" w:cs="Times New Roman"/>
          <w:color w:val="auto"/>
          <w:sz w:val="26"/>
          <w:szCs w:val="26"/>
          <w:lang w:val="en-US"/>
        </w:rPr>
        <w:t xml:space="preserve">I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.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Приоритеты и цели муниципальной политики, включая характеристику текущего состояния сферы реализации муниципальной программы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4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64"/>
        <w:numPr>
          <w:ilvl w:val="0"/>
          <w:numId w:val="0"/>
        </w:numPr>
        <w:ind w:left="0" w:right="0" w:firstLine="709"/>
        <w:jc w:val="both"/>
        <w:keepLines w:val="0"/>
        <w:keepNext w:val="0"/>
        <w:spacing w:line="240" w:lineRule="auto"/>
        <w:widowControl w:val="off"/>
        <w:tabs>
          <w:tab w:val="num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2. Наличие для граждан возможности улучшения жилищных условий является важным показателем п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овышения благосостояния населения Челябинской области, предпосылкой социальной и экономической стабильности государства, поэтому решение жилищной проблемы является одним из приоритетов государственной политики в Российской Федерации и Челябинской области.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Одной из важнейших проблем жилищно-коммунальной реформы является проблема ликвидации аварийного жилищного фонда. Его наличие не только ухудшает внешний облик, понижает инвестиционную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привлекательность населенных пунктов и сдерживает развитие инфраструктуры, но и создает потенциальную угрозу безопасности и комфортности проживания граждан, ухудшает качество предоставляемых коммунальных услуг, повышает социальную напряженность в обществе.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52"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Приоритеты государственной политики в сфере реализации муниципальной программы определены: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52"/>
        <w:numPr>
          <w:ilvl w:val="0"/>
          <w:numId w:val="33"/>
        </w:numPr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Указом Президента Российской Федерации от 7 мая 2024 года № 309 «О национальных целях развития Российской Федерации на период до 2030 года и на перспективу до 2036 года»;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52"/>
        <w:numPr>
          <w:ilvl w:val="0"/>
          <w:numId w:val="33"/>
        </w:numPr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</w:t>
      </w:r>
      <w:r>
        <w:rPr>
          <w:rFonts w:ascii="Times New Roman" w:hAnsi="Times New Roman" w:cs="Times New Roman"/>
          <w:sz w:val="26"/>
          <w:szCs w:val="26"/>
        </w:rPr>
        <w:t xml:space="preserve">осударственной программой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 Федерации от 30.12.2017 г. № 1710 «О государственной прог</w:t>
      </w:r>
      <w:r>
        <w:rPr>
          <w:rFonts w:ascii="Times New Roman" w:hAnsi="Times New Roman" w:cs="Times New Roman"/>
          <w:sz w:val="26"/>
          <w:szCs w:val="26"/>
        </w:rPr>
        <w:t xml:space="preserve">рамме Российской Федерации «Обеспечение доступным и комфортным жильем и коммунальными услугами граждан Российской Федерации»;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52"/>
        <w:numPr>
          <w:ilvl w:val="0"/>
          <w:numId w:val="33"/>
        </w:numPr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Стратегией развития строительной отрасли и жилищно-коммунального хозяйства Российской Федерации на период до 2030 года с прогнозом до 2035 года, утвержденной распоряжением Правительства Российской Федерации от 31.10.2022 г. № 3268-р;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52"/>
        <w:numPr>
          <w:ilvl w:val="0"/>
          <w:numId w:val="33"/>
        </w:numPr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</w:t>
      </w:r>
      <w:r>
        <w:rPr>
          <w:rFonts w:ascii="Times New Roman" w:hAnsi="Times New Roman" w:cs="Times New Roman"/>
          <w:sz w:val="26"/>
          <w:szCs w:val="26"/>
        </w:rPr>
        <w:t xml:space="preserve">тратегией социально-экономического развития Челябинской области на период до 2035 года, утвержденной постановлением Законодательного Собрания Челябинской области от 31.01.2019 № 1748 «Об утверждении Стратегии социально-экономического развития Челябинской о</w:t>
      </w:r>
      <w:r>
        <w:rPr>
          <w:rFonts w:ascii="Times New Roman" w:hAnsi="Times New Roman" w:cs="Times New Roman"/>
          <w:sz w:val="26"/>
          <w:szCs w:val="26"/>
        </w:rPr>
        <w:t xml:space="preserve">бласти на период                                 до 2035 года»;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52"/>
        <w:numPr>
          <w:ilvl w:val="0"/>
          <w:numId w:val="33"/>
        </w:numPr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Стратегией в области цифровой трансформации ключевых отраслей экономики, социальной сферы и государственного управления Челябинской области, утвержденной распоряжением Правительства Челябинской области от 17.08.2022 г. № 757-рп.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36"/>
        <w:contextualSpacing/>
        <w:ind w:firstLine="709"/>
        <w:jc w:val="both"/>
        <w:spacing w:after="0" w:line="240" w:lineRule="auto"/>
        <w:tabs>
          <w:tab w:val="num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4. Настоящая муниципальная программа направлена на продолжение преобразований в жилищной сфере и обусловлена необходимостью: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36"/>
        <w:numPr>
          <w:ilvl w:val="0"/>
          <w:numId w:val="30"/>
        </w:numPr>
        <w:ind w:left="0" w:firstLine="698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развития конкуренции на рынке жилья, включая реализацию мер по поддержке жилищного строительства в части обеспечения земельных участков объектами коммунальной инфраструктуры. Поскольку часть земельных участков под жилищное строите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льство будет сформирована и обеспечена объектами коммунальной инфраструктуры на территориях, занимаемых в настоящее время ветхим и аварийным жилищным фондом, мероприятия муниципальной программы будут способствовать решению проблемы ликвидации жилищного фон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да, непригодного для проживания.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36"/>
        <w:ind w:left="709" w:firstLine="0"/>
        <w:jc w:val="both"/>
        <w:spacing w:after="0" w:line="240" w:lineRule="auto"/>
        <w:widowControl w:val="off"/>
        <w:tabs>
          <w:tab w:val="num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5. Настоящая муниципальная программа действует в рамках: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53"/>
        <w:numPr>
          <w:ilvl w:val="0"/>
          <w:numId w:val="31"/>
        </w:numPr>
        <w:ind w:left="0" w:firstLine="709"/>
        <w:jc w:val="both"/>
        <w:widowControl/>
        <w:tabs>
          <w:tab w:val="num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fldChar w:fldCharType="begin"/>
      </w:r>
      <w:r>
        <w:rPr>
          <w:rFonts w:ascii="Times New Roman" w:hAnsi="Times New Roman" w:cs="Times New Roman"/>
          <w:sz w:val="26"/>
          <w:szCs w:val="26"/>
        </w:rPr>
        <w:instrText xml:space="preserve">HYPERLINK "области\"){Конс</w:instrText>
      </w:r>
      <w:r>
        <w:rPr>
          <w:rFonts w:ascii="Times New Roman" w:hAnsi="Times New Roman" w:cs="Times New Roman"/>
          <w:sz w:val="26"/>
          <w:szCs w:val="26"/>
        </w:rPr>
        <w:instrText xml:space="preserve">ультантПлюс}" \t "Постановление Правительства Челябинской области от 22.10.2013 N 349-П (ред. от 19.12.2019) \"О государственной программе Челябинской области \"Обеспечение доступным и комфортным жильем граждан Российской Федерации в Челябинской области\" </w:instrText>
      </w:r>
      <w:r>
        <w:rPr>
          <w:rFonts w:ascii="Times New Roman" w:hAnsi="Times New Roman" w:cs="Times New Roman"/>
          <w:sz w:val="26"/>
          <w:szCs w:val="26"/>
        </w:rPr>
        <w:fldChar w:fldCharType="separate"/>
      </w:r>
      <w:r>
        <w:rPr>
          <w:rFonts w:ascii="Times New Roman" w:hAnsi="Times New Roman" w:cs="Times New Roman"/>
          <w:sz w:val="26"/>
          <w:szCs w:val="26"/>
        </w:rPr>
        <w:t xml:space="preserve">подпрограммы</w:t>
      </w:r>
      <w:r>
        <w:rPr>
          <w:rFonts w:ascii="Times New Roman" w:hAnsi="Times New Roman" w:cs="Times New Roman"/>
          <w:sz w:val="26"/>
          <w:szCs w:val="26"/>
        </w:rPr>
        <w:fldChar w:fldCharType="end"/>
      </w:r>
      <w:r>
        <w:rPr>
          <w:rFonts w:ascii="Times New Roman" w:hAnsi="Times New Roman" w:cs="Times New Roman"/>
          <w:sz w:val="26"/>
          <w:szCs w:val="26"/>
        </w:rPr>
        <w:t xml:space="preserve"> «Мероприятия по переселению граждан из жили</w:t>
      </w:r>
      <w:r>
        <w:rPr>
          <w:rFonts w:ascii="Times New Roman" w:hAnsi="Times New Roman" w:cs="Times New Roman"/>
          <w:sz w:val="26"/>
          <w:szCs w:val="26"/>
        </w:rPr>
        <w:t xml:space="preserve">щного фонда, признанного непригодным для проживания» государственной программы Челябинской области «Обеспечение доступным и комфортным жильем граждан Российской Федерации в Челябинской области», утвержденной постановлением Правительства Челябинской области</w:t>
      </w:r>
      <w:r>
        <w:rPr>
          <w:rFonts w:ascii="Times New Roman" w:hAnsi="Times New Roman" w:cs="Times New Roman"/>
          <w:sz w:val="26"/>
          <w:szCs w:val="26"/>
        </w:rPr>
        <w:t xml:space="preserve"> от 21 декабря 2020 года № 700-П;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53"/>
        <w:numPr>
          <w:ilvl w:val="0"/>
          <w:numId w:val="31"/>
        </w:numPr>
        <w:ind w:left="0" w:firstLine="709"/>
        <w:jc w:val="both"/>
        <w:widowControl/>
        <w:tabs>
          <w:tab w:val="num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мероприяти</w:t>
      </w:r>
      <w:r>
        <w:rPr>
          <w:rFonts w:ascii="Times New Roman" w:hAnsi="Times New Roman" w:cs="Times New Roman"/>
          <w:sz w:val="26"/>
          <w:szCs w:val="26"/>
        </w:rPr>
        <w:t xml:space="preserve">й</w:t>
      </w:r>
      <w:r>
        <w:rPr>
          <w:rFonts w:ascii="Times New Roman" w:hAnsi="Times New Roman" w:cs="Times New Roman"/>
          <w:sz w:val="26"/>
          <w:szCs w:val="26"/>
        </w:rPr>
        <w:t xml:space="preserve"> по обеспечению жильем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граждан </w:t>
      </w:r>
      <w:r>
        <w:rPr>
          <w:rFonts w:ascii="Times New Roman" w:hAnsi="Times New Roman" w:cs="Times New Roman"/>
          <w:sz w:val="26"/>
          <w:szCs w:val="26"/>
        </w:rPr>
        <w:t xml:space="preserve">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утвержденной </w:t>
      </w:r>
      <w:r>
        <w:rPr>
          <w:rFonts w:ascii="Times New Roman" w:hAnsi="Times New Roman" w:cs="Times New Roman"/>
          <w:sz w:val="26"/>
          <w:szCs w:val="26"/>
        </w:rPr>
        <w:t xml:space="preserve">постановлением</w:t>
      </w:r>
      <w:r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                            от 30 декабря 2017 года № 1710 </w:t>
      </w:r>
      <w:r>
        <w:rPr>
          <w:rFonts w:ascii="Times New Roman" w:hAnsi="Times New Roman" w:cs="Times New Roman"/>
          <w:sz w:val="26"/>
          <w:szCs w:val="26"/>
        </w:rPr>
        <w:t xml:space="preserve">«О государственной программе Российской Федерации "Обеспечение доступным и комфортным жильем и коммунальными услугами граждан Российской Федерации»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36"/>
        <w:ind w:left="0" w:right="0" w:firstLine="709"/>
        <w:jc w:val="both"/>
        <w:spacing w:after="0" w:line="240" w:lineRule="auto"/>
        <w:widowControl w:val="off"/>
        <w:tabs>
          <w:tab w:val="num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6. Объектом рассмотрения муниципальной программы является жилищный фонд как совокупность жилых помещений многоквартирных домов, признанных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непригодными для проживания,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аварийными и подлежащими сносу или реконструкции в установленном порядке в связи с физическим износом.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36"/>
        <w:ind w:left="0" w:right="0" w:firstLine="709"/>
        <w:jc w:val="both"/>
        <w:spacing w:after="0" w:line="240" w:lineRule="auto"/>
        <w:widowControl w:val="off"/>
        <w:tabs>
          <w:tab w:val="num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7. Для создания условий улучшения гражданами жилищных условий требуется совершенствование законодательно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й и нормативной правовой базы в жилищном секторе. Необходимость ускоренного перехода к устойчивому функционированию и развитию жилищной сферы определяет целесообразность использования программно-целевого метода для решения указанных проблем, поскольку они: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36"/>
        <w:numPr>
          <w:ilvl w:val="0"/>
          <w:numId w:val="28"/>
        </w:numPr>
        <w:contextualSpacing/>
        <w:ind w:left="0" w:right="0" w:firstLine="709"/>
        <w:jc w:val="both"/>
        <w:spacing w:after="0" w:line="240" w:lineRule="auto"/>
        <w:tabs>
          <w:tab w:val="clear" w:pos="0" w:leader="none"/>
          <w:tab w:val="num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носят межотраслевой и межведомственный характер и не могут быть решены без участия федерального центра;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36"/>
        <w:numPr>
          <w:ilvl w:val="0"/>
          <w:numId w:val="28"/>
        </w:numPr>
        <w:contextualSpacing/>
        <w:ind w:left="0" w:right="0" w:firstLine="709"/>
        <w:jc w:val="both"/>
        <w:spacing w:after="0" w:line="240" w:lineRule="auto"/>
        <w:tabs>
          <w:tab w:val="clear" w:pos="0" w:leader="none"/>
          <w:tab w:val="num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не могут быть решены в пределах одного финансового года и требуют значительных бюджетных расходов до 2030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года включительно;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36"/>
        <w:numPr>
          <w:ilvl w:val="0"/>
          <w:numId w:val="28"/>
        </w:numPr>
        <w:contextualSpacing/>
        <w:ind w:left="0" w:right="0" w:firstLine="709"/>
        <w:jc w:val="both"/>
        <w:spacing w:after="0" w:line="240" w:lineRule="auto"/>
        <w:tabs>
          <w:tab w:val="clear" w:pos="0" w:leader="none"/>
          <w:tab w:val="num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носят комплексный характер, а их решение окажет существенное положительное влияние на социальное благополучие общества, общее экономическое развитие.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36"/>
        <w:ind w:left="0" w:right="0" w:firstLine="709"/>
        <w:jc w:val="both"/>
        <w:spacing w:after="0" w:line="240" w:lineRule="auto"/>
        <w:widowControl w:val="off"/>
        <w:tabs>
          <w:tab w:val="num" w:pos="1134" w:leader="none"/>
        </w:tabs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8. Перечень многоквартирных домов, признанных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непригодными для проживания,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аварийными и подлежащи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х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расселению, приведен в приложении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2 к муниципальной программе.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4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4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  <w:shd w:val="clear" w:color="auto" w:fill="ffffff"/>
          <w:lang w:val="en-US"/>
        </w:rPr>
        <w:t xml:space="preserve">III</w:t>
      </w:r>
      <w:r>
        <w:rPr>
          <w:rFonts w:ascii="Times New Roman" w:hAnsi="Times New Roman" w:cs="Times New Roman"/>
          <w:color w:val="auto"/>
          <w:sz w:val="26"/>
          <w:szCs w:val="26"/>
          <w:shd w:val="clear" w:color="auto" w:fill="ffffff"/>
        </w:rPr>
        <w:t xml:space="preserve">. Сведения о </w:t>
      </w:r>
      <w:r>
        <w:rPr>
          <w:rFonts w:ascii="Times New Roman" w:hAnsi="Times New Roman" w:cs="Times New Roman"/>
          <w:color w:val="auto"/>
          <w:sz w:val="26"/>
          <w:szCs w:val="26"/>
          <w:shd w:val="clear" w:color="auto" w:fill="ffffff"/>
        </w:rPr>
        <w:t xml:space="preserve">взаимоувязке</w:t>
      </w:r>
      <w:r>
        <w:rPr>
          <w:rFonts w:ascii="Times New Roman" w:hAnsi="Times New Roman" w:cs="Times New Roman"/>
          <w:color w:val="auto"/>
          <w:sz w:val="26"/>
          <w:szCs w:val="26"/>
          <w:shd w:val="clear" w:color="auto" w:fill="ffffff"/>
        </w:rPr>
        <w:t xml:space="preserve"> со стратегическими приоритетами, </w:t>
      </w:r>
      <w:r>
        <w:rPr>
          <w:rFonts w:ascii="Times New Roman" w:hAnsi="Times New Roman" w:cs="Times New Roman"/>
          <w:color w:val="auto"/>
          <w:sz w:val="26"/>
          <w:szCs w:val="26"/>
          <w:shd w:val="clear" w:color="auto" w:fill="ffffff"/>
        </w:rPr>
        <w:t xml:space="preserve">целями  и</w:t>
      </w:r>
      <w:r>
        <w:rPr>
          <w:rFonts w:ascii="Times New Roman" w:hAnsi="Times New Roman" w:cs="Times New Roman"/>
          <w:color w:val="auto"/>
          <w:sz w:val="26"/>
          <w:szCs w:val="26"/>
          <w:shd w:val="clear" w:color="auto" w:fill="ffffff"/>
        </w:rPr>
        <w:t xml:space="preserve"> показателями государственных программ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4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tabs>
          <w:tab w:val="left" w:pos="720" w:leader="none"/>
          <w:tab w:val="left" w:pos="1134" w:leader="none"/>
          <w:tab w:val="left" w:pos="3420" w:leader="none"/>
          <w:tab w:val="left" w:pos="5040" w:leader="none"/>
        </w:tabs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9.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Цель, задачи и ср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оки реализации муниципальной программы сформированы с учетом национальных целей развития на период до 2030 года, определенных Указом Президента Российской Федерации от 7 мая 2024 года                   № 309, и Единого плана по достижению национальных целе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й развития Российской Федерации на период до 2024 года и на плановый период до 2030 года, утвержденного распоряжением Правительства Российской Федерации                              от 1 октября 2021 г. № 2765-р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.</w:t>
      </w:r>
      <w:r/>
    </w:p>
    <w:p>
      <w:pPr>
        <w:pStyle w:val="957"/>
        <w:ind w:left="0" w:right="0" w:firstLine="709"/>
        <w:jc w:val="both"/>
        <w:tabs>
          <w:tab w:val="left" w:pos="1134" w:leader="none"/>
        </w:tabs>
        <w:rPr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color w:val="auto"/>
          <w:sz w:val="26"/>
          <w:szCs w:val="26"/>
        </w:rPr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В рамках реализации муниципальной программы обеспечена взаимосвязь с национальными целями «Комфортная и безопасная среда для жизни», «Цифровая трансформация государственного и муниципального управления, экономики и социальной сферы», показателями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, установленными Указом Президента Российской Федерации от 04.02.2021 г. № 68 «Об оценке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Федерации»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, а также </w:t>
      </w:r>
      <w:r>
        <w:rPr>
          <w:color w:val="auto"/>
          <w:sz w:val="26"/>
          <w:szCs w:val="26"/>
          <w:shd w:val="clear" w:color="auto" w:fill="ffffff"/>
        </w:rPr>
        <w:t xml:space="preserve">Стратегией социально-экономического развития </w:t>
      </w:r>
      <w:r>
        <w:rPr>
          <w:color w:val="auto"/>
          <w:sz w:val="26"/>
          <w:szCs w:val="26"/>
          <w:shd w:val="clear" w:color="auto" w:fill="ffffff"/>
        </w:rPr>
        <w:t xml:space="preserve">Копейского</w:t>
      </w:r>
      <w:r>
        <w:rPr>
          <w:color w:val="auto"/>
          <w:sz w:val="26"/>
          <w:szCs w:val="26"/>
          <w:shd w:val="clear" w:color="auto" w:fill="ffffff"/>
        </w:rPr>
        <w:t xml:space="preserve"> городского </w:t>
      </w:r>
      <w:r>
        <w:rPr>
          <w:color w:val="auto"/>
          <w:sz w:val="26"/>
          <w:szCs w:val="26"/>
          <w:shd w:val="clear" w:color="auto" w:fill="ffffff"/>
        </w:rPr>
        <w:t xml:space="preserve">округа на</w:t>
      </w:r>
      <w:r>
        <w:rPr>
          <w:color w:val="auto"/>
          <w:sz w:val="26"/>
          <w:szCs w:val="26"/>
          <w:shd w:val="clear" w:color="auto" w:fill="ffffff"/>
        </w:rPr>
        <w:t xml:space="preserve"> период до 2035 года, утвержденной решением Собрания депутатов </w:t>
      </w:r>
      <w:r>
        <w:rPr>
          <w:color w:val="auto"/>
          <w:sz w:val="26"/>
          <w:szCs w:val="26"/>
          <w:shd w:val="clear" w:color="auto" w:fill="ffffff"/>
        </w:rPr>
        <w:t xml:space="preserve">Копейского</w:t>
      </w:r>
      <w:r>
        <w:rPr>
          <w:color w:val="auto"/>
          <w:sz w:val="26"/>
          <w:szCs w:val="26"/>
          <w:shd w:val="clear" w:color="auto" w:fill="ffffff"/>
        </w:rPr>
        <w:t xml:space="preserve"> городского округа от 19.12.2018 № 635-МО</w:t>
      </w:r>
      <w:r>
        <w:rPr>
          <w:color w:val="auto"/>
          <w:sz w:val="26"/>
          <w:szCs w:val="26"/>
          <w:shd w:val="clear" w:color="auto" w:fill="ffffff"/>
        </w:rPr>
        <w:t xml:space="preserve"> (далее – Стратегия)</w:t>
      </w:r>
      <w:r>
        <w:rPr>
          <w:color w:val="auto"/>
          <w:sz w:val="26"/>
          <w:szCs w:val="26"/>
          <w:shd w:val="clear" w:color="auto" w:fill="ffffff"/>
        </w:rPr>
        <w:t xml:space="preserve">. </w:t>
      </w:r>
      <w:r>
        <w:rPr>
          <w:color w:val="auto"/>
          <w:sz w:val="26"/>
          <w:szCs w:val="26"/>
          <w:highlight w:val="none"/>
        </w:rPr>
        <w:t xml:space="preserve">С</w:t>
      </w:r>
      <w:r>
        <w:rPr>
          <w:color w:val="auto"/>
          <w:sz w:val="26"/>
          <w:szCs w:val="26"/>
          <w:shd w:val="clear" w:color="auto" w:fill="ffffff"/>
        </w:rPr>
        <w:t xml:space="preserve">тратегией</w:t>
      </w:r>
      <w:r>
        <w:rPr>
          <w:color w:val="auto"/>
          <w:sz w:val="26"/>
          <w:szCs w:val="26"/>
          <w:shd w:val="clear" w:color="auto" w:fill="ffffff"/>
        </w:rPr>
        <w:t xml:space="preserve"> предусмотрены мероприятия</w:t>
      </w:r>
      <w:r>
        <w:rPr>
          <w:color w:val="auto"/>
          <w:sz w:val="26"/>
          <w:szCs w:val="26"/>
          <w:highlight w:val="none"/>
        </w:rPr>
        <w:t xml:space="preserve"> по ликвидации аварийного жилищного фонда на территории Копейского городского округа. </w:t>
      </w:r>
      <w:r>
        <w:rPr>
          <w:color w:val="auto"/>
          <w:sz w:val="26"/>
          <w:szCs w:val="26"/>
        </w:rPr>
      </w:r>
      <w:r/>
    </w:p>
    <w:p>
      <w:pPr>
        <w:pStyle w:val="957"/>
        <w:ind w:left="0" w:right="0" w:firstLine="709"/>
        <w:jc w:val="both"/>
        <w:tabs>
          <w:tab w:val="left" w:pos="1134" w:leader="none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  <w:highlight w:val="none"/>
        </w:rPr>
        <w:t xml:space="preserve">С целью снижения количества аварийного жилищного фонда Копейский городской округ активно участвует в государственных и областных программах, направленных на переселение граждан из аварийных домов.</w:t>
      </w:r>
      <w:r>
        <w:rPr>
          <w:color w:val="auto"/>
          <w:sz w:val="26"/>
          <w:szCs w:val="26"/>
        </w:rPr>
      </w:r>
      <w:r/>
    </w:p>
    <w:p>
      <w:pPr>
        <w:pStyle w:val="957"/>
        <w:jc w:val="both"/>
        <w:tabs>
          <w:tab w:val="left" w:pos="1134" w:leader="none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</w:r>
      <w:r>
        <w:rPr>
          <w:color w:val="auto"/>
          <w:sz w:val="26"/>
          <w:szCs w:val="26"/>
        </w:rPr>
      </w:r>
      <w:r/>
    </w:p>
    <w:p>
      <w:pPr>
        <w:pStyle w:val="957"/>
        <w:jc w:val="both"/>
        <w:tabs>
          <w:tab w:val="left" w:pos="1134" w:leader="none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  <w:highlight w:val="none"/>
        </w:rPr>
      </w:r>
      <w:r>
        <w:rPr>
          <w:color w:val="auto"/>
          <w:sz w:val="26"/>
          <w:szCs w:val="26"/>
          <w:highlight w:val="none"/>
        </w:rPr>
      </w:r>
      <w:r/>
    </w:p>
    <w:p>
      <w:pPr>
        <w:ind w:firstLine="709"/>
        <w:jc w:val="both"/>
        <w:tabs>
          <w:tab w:val="left" w:pos="720" w:leader="none"/>
          <w:tab w:val="left" w:pos="1134" w:leader="none"/>
          <w:tab w:val="left" w:pos="3420" w:leader="none"/>
          <w:tab w:val="left" w:pos="5040" w:leader="none"/>
        </w:tabs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10. Основной целью муниципальной программы является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ликвидация непригодного для проживания, аварийного жилищного фонда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auto"/>
          <w:sz w:val="26"/>
          <w:szCs w:val="26"/>
        </w:rPr>
      </w:r>
      <w:r/>
    </w:p>
    <w:p>
      <w:pPr>
        <w:ind w:left="0" w:right="0" w:firstLine="709"/>
        <w:jc w:val="both"/>
        <w:spacing w:after="0" w:line="240" w:lineRule="auto"/>
        <w:widowControl w:val="off"/>
        <w:tabs>
          <w:tab w:val="num" w:pos="1134" w:leader="none"/>
        </w:tabs>
        <w:rPr>
          <w:rFonts w:ascii="Times New Roman" w:hAnsi="Times New Roman" w:cs="Times New Roman"/>
          <w:color w:val="000000"/>
          <w:sz w:val="26"/>
          <w:szCs w:val="26"/>
          <w:highlight w:val="none"/>
        </w:rPr>
      </w:pPr>
      <w:r>
        <w:rPr>
          <w:rFonts w:ascii="Times New Roman" w:hAnsi="Times New Roman" w:cs="Times New Roman"/>
          <w:color w:val="000000"/>
          <w:sz w:val="26"/>
          <w:szCs w:val="26"/>
          <w:highlight w:val="none"/>
        </w:rPr>
      </w:r>
      <w:r>
        <w:rPr>
          <w:rFonts w:ascii="Times New Roman" w:hAnsi="Times New Roman" w:cs="Times New Roman"/>
          <w:color w:val="000000"/>
          <w:sz w:val="26"/>
          <w:szCs w:val="26"/>
          <w:highlight w:val="none"/>
        </w:rPr>
      </w:r>
      <w:r/>
    </w:p>
    <w:p>
      <w:pPr>
        <w:ind w:left="0" w:right="0" w:firstLine="709"/>
        <w:jc w:val="both"/>
        <w:spacing w:after="0" w:line="240" w:lineRule="auto"/>
        <w:widowControl w:val="off"/>
        <w:tabs>
          <w:tab w:val="num" w:pos="1134" w:leader="none"/>
        </w:tabs>
        <w:rPr>
          <w:rFonts w:ascii="Times New Roman" w:hAnsi="Times New Roman" w:cs="Times New Roman"/>
          <w:color w:val="000000"/>
          <w:sz w:val="26"/>
          <w:szCs w:val="26"/>
          <w:highlight w:val="none"/>
        </w:rPr>
      </w:pPr>
      <w:r>
        <w:rPr>
          <w:rFonts w:ascii="Times New Roman" w:hAnsi="Times New Roman" w:cs="Times New Roman"/>
          <w:color w:val="000000"/>
          <w:sz w:val="26"/>
          <w:szCs w:val="26"/>
          <w:highlight w:val="none"/>
        </w:rPr>
      </w:r>
      <w:r>
        <w:rPr>
          <w:rFonts w:ascii="Times New Roman" w:hAnsi="Times New Roman" w:cs="Times New Roman"/>
          <w:color w:val="000000"/>
          <w:sz w:val="26"/>
          <w:szCs w:val="26"/>
          <w:highlight w:val="none"/>
        </w:rPr>
      </w:r>
      <w:r/>
    </w:p>
    <w:p>
      <w:pPr>
        <w:ind w:firstLine="709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  <w:shd w:val="clear" w:color="auto" w:fill="ffffff"/>
          <w:lang w:val="en-US"/>
        </w:rPr>
        <w:t xml:space="preserve">IV</w:t>
      </w:r>
      <w:r>
        <w:rPr>
          <w:rFonts w:ascii="Times New Roman" w:hAnsi="Times New Roman" w:cs="Times New Roman"/>
          <w:color w:val="auto"/>
          <w:sz w:val="26"/>
          <w:szCs w:val="26"/>
          <w:shd w:val="clear" w:color="auto" w:fill="ffffff"/>
        </w:rPr>
        <w:t xml:space="preserve">. Задачи муниципального управления, способы их эффективного решения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auto"/>
          <w:sz w:val="26"/>
          <w:szCs w:val="26"/>
          <w:shd w:val="clear" w:color="auto" w:fill="ffffff"/>
        </w:rPr>
        <w:t xml:space="preserve">в</w:t>
      </w:r>
      <w:r>
        <w:rPr>
          <w:rFonts w:ascii="Times New Roman" w:hAnsi="Times New Roman" w:cs="Times New Roman"/>
          <w:color w:val="auto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 w:val="0"/>
          <w:color w:val="auto"/>
          <w:spacing w:val="-1"/>
          <w:sz w:val="26"/>
          <w:szCs w:val="26"/>
        </w:rPr>
        <w:t xml:space="preserve">соответствующей отрасли экономики и сфере муниципального управления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rPr>
          <w:rFonts w:ascii="Times New Roman" w:hAnsi="Times New Roman" w:cs="Times New Roman"/>
          <w:color w:val="auto"/>
          <w:spacing w:val="-1"/>
          <w:sz w:val="26"/>
          <w:szCs w:val="26"/>
        </w:rPr>
      </w:pPr>
      <w:r>
        <w:rPr>
          <w:rFonts w:ascii="Times New Roman" w:hAnsi="Times New Roman" w:cs="Times New Roman"/>
          <w:color w:val="auto"/>
          <w:spacing w:val="-1"/>
          <w:sz w:val="26"/>
          <w:szCs w:val="26"/>
        </w:rPr>
      </w:r>
      <w:r>
        <w:rPr>
          <w:rFonts w:ascii="Times New Roman" w:hAnsi="Times New Roman" w:cs="Times New Roman"/>
          <w:color w:val="auto"/>
          <w:spacing w:val="-1"/>
          <w:sz w:val="26"/>
          <w:szCs w:val="26"/>
        </w:rPr>
      </w:r>
      <w:r/>
    </w:p>
    <w:p>
      <w:pPr>
        <w:pStyle w:val="936"/>
        <w:ind w:left="0" w:right="0" w:firstLine="709"/>
        <w:jc w:val="both"/>
        <w:spacing w:after="0" w:line="240" w:lineRule="auto"/>
        <w:widowControl w:val="off"/>
        <w:tabs>
          <w:tab w:val="num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11. Для достижения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поставленной цели определены основные задачи муниципальной программы: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36"/>
        <w:numPr>
          <w:ilvl w:val="0"/>
          <w:numId w:val="38"/>
        </w:numPr>
        <w:ind w:left="0"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формирование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жилищного фонда, необходимого для переселения граждан из непригодного, аварийного жилищного фонда. Обеспеч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ение жилищных прав граждан, проживающих в жилых помещениях муниципального жилищного фонда, находящихся в непригодных, аварийных многоквартирных домах. Обеспечение жилищных прав собственников изымаемых жилых помещений, находящихся в непригодных, аварийных </w:t>
      </w:r>
      <w:r>
        <w:rPr>
          <w:rFonts w:ascii="Times New Roman" w:hAnsi="Times New Roman" w:cs="Times New Roman"/>
          <w:sz w:val="26"/>
          <w:szCs w:val="26"/>
        </w:rPr>
        <w:t xml:space="preserve">МКД.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36"/>
        <w:numPr>
          <w:ilvl w:val="0"/>
          <w:numId w:val="38"/>
        </w:numPr>
        <w:ind w:left="0"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переселение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жителей МКД, признанных непригодными для проживания, аварийными и подлежащими сносу или </w:t>
      </w:r>
      <w:r>
        <w:rPr>
          <w:rFonts w:ascii="Times New Roman" w:hAnsi="Times New Roman" w:cs="Times New Roman"/>
          <w:sz w:val="26"/>
          <w:szCs w:val="26"/>
        </w:rPr>
        <w:t xml:space="preserve">реконструкции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36"/>
        <w:ind w:left="0" w:right="0"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12. На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I этапе реализации муниципальной программы: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36"/>
        <w:numPr>
          <w:ilvl w:val="0"/>
          <w:numId w:val="41"/>
        </w:numPr>
        <w:ind w:left="0"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орган местного самоуправления в порядке, установленном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 проводит торги н</w:t>
      </w:r>
      <w:r>
        <w:rPr>
          <w:rFonts w:ascii="Times New Roman" w:hAnsi="Times New Roman" w:cs="Times New Roman"/>
          <w:sz w:val="26"/>
          <w:szCs w:val="26"/>
        </w:rPr>
        <w:t xml:space="preserve">а выполнение работ по строительству жилых многоквартирных домов и домов, перечисленных в пунктах 2 и 3 части 2 статьи 49 Градостроительного кодекса Российской Федерации, или на приобретение у застройщиков жилых помещений в таких домах;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36"/>
        <w:numPr>
          <w:ilvl w:val="0"/>
          <w:numId w:val="41"/>
        </w:numPr>
        <w:ind w:left="0"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орган местного самоуправления заключает муниципальные контракты с застройщиками на строительство жилых многоквартирных домов, в том числе долевое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или на приобретение жилых помещений (в том числе путем инвестирования в строительство многоквартирных жилых домов)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, в том числе на вторичном рынке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по цене, определяемой в </w:t>
      </w:r>
      <w:r>
        <w:rPr>
          <w:rFonts w:ascii="Times New Roman" w:hAnsi="Times New Roman" w:cs="Times New Roman"/>
          <w:sz w:val="26"/>
          <w:szCs w:val="26"/>
        </w:rPr>
        <w:t xml:space="preserve">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36"/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Начальная (максимальная) цена указанных государственных и муниципальных контрактов определяется в соответствии со </w:t>
      </w:r>
      <w:r>
        <w:rPr>
          <w:rFonts w:ascii="Times New Roman" w:hAnsi="Times New Roman" w:cs="Times New Roman"/>
          <w:bCs/>
          <w:sz w:val="26"/>
          <w:szCs w:val="26"/>
        </w:rPr>
        <w:fldChar w:fldCharType="begin"/>
      </w:r>
      <w:r>
        <w:rPr>
          <w:rFonts w:ascii="Times New Roman" w:hAnsi="Times New Roman" w:cs="Times New Roman"/>
          <w:bCs/>
          <w:sz w:val="26"/>
          <w:szCs w:val="26"/>
        </w:rPr>
        <w:instrText xml:space="preserve">HYPERLINK consultantplus://offline/ref=A057DD3D17875C3FB02FA30B3EB6A28CA68CF184A052127EA5E19BC9D87240A833D2ED7B85D96628CCE28B4356FF19B7A368EE2FF085h4GBL </w:instrText>
      </w:r>
      <w:r>
        <w:rPr>
          <w:rFonts w:ascii="Times New Roman" w:hAnsi="Times New Roman" w:cs="Times New Roman"/>
          <w:bCs/>
          <w:sz w:val="26"/>
          <w:szCs w:val="26"/>
        </w:rPr>
        <w:fldChar w:fldCharType="separate"/>
      </w:r>
      <w:r>
        <w:rPr>
          <w:rFonts w:ascii="Times New Roman" w:hAnsi="Times New Roman" w:cs="Times New Roman"/>
          <w:bCs/>
          <w:sz w:val="26"/>
          <w:szCs w:val="26"/>
        </w:rPr>
        <w:t xml:space="preserve">статьей 22</w:t>
      </w:r>
      <w:r>
        <w:rPr>
          <w:rFonts w:ascii="Times New Roman" w:hAnsi="Times New Roman" w:cs="Times New Roman"/>
          <w:bCs/>
          <w:sz w:val="26"/>
          <w:szCs w:val="26"/>
        </w:rPr>
        <w:fldChar w:fldCharType="end"/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36"/>
        <w:ind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случае предоставления жилого помещения большей площади, чем аварийное, оплата превышения площади осуществляется за счет средств областного и местного бюджетов.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36"/>
        <w:ind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согласии собственника </w:t>
      </w:r>
      <w:r>
        <w:rPr>
          <w:rFonts w:ascii="Times New Roman" w:hAnsi="Times New Roman" w:cs="Times New Roman"/>
          <w:sz w:val="26"/>
          <w:szCs w:val="26"/>
        </w:rPr>
        <w:t xml:space="preserve">с ним заключается договор мены, в соответствии с которым ему предоставляется другое благоустроенное жилое помещение. Предлагаемое и изымаемое жилые помещения признаются равноценными. Доплата за разницу в стоимости обмениваемых жилых помещений не взимается.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36"/>
        <w:ind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Жилые помещения, приобретенные (построенные) в рамках государственных контрактов, передаются из государственной собственности Челябинской области в муниципальную собственность.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36"/>
        <w:ind w:left="0" w:right="0"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13. На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II этапе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организационные мероприятия, осуществляемые органом местного самоуправления, должны быть направлены на: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36"/>
        <w:numPr>
          <w:ilvl w:val="0"/>
          <w:numId w:val="40"/>
        </w:numPr>
        <w:ind w:left="0"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определение рыночной стоимости изымаемого жилого помещения,   находящегося в собственности граждан, в соответствии со статьёй 32 Жилищного кодекса Российской Федерации; 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36"/>
        <w:numPr>
          <w:ilvl w:val="0"/>
          <w:numId w:val="40"/>
        </w:numPr>
        <w:ind w:left="0"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заключение с собственниками договоров мены в соответствии с заключенными предварительными соглашениями о предоставлении взамен изымаемых жилых помещений других жилых помещений муниципального    жилищного фонда;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36"/>
        <w:numPr>
          <w:ilvl w:val="0"/>
          <w:numId w:val="40"/>
        </w:numPr>
        <w:ind w:left="0"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предоставление нанимателям изымаемых жилых помещений равнозначных жилых помещений по договорам социального найма.   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36"/>
        <w:ind w:left="0" w:right="0"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14. Финансовые мероприя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тия направлены на формирование муниципального жилищного фонда для переселения граждан путем строительства, в том числе долевого, или приобретения квартир (в том числе путем инвестирования в строительство многоквартирных жилых домов) в многоквартирных домах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в том числе на вторичном рынке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и домах,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перечисленных в пунктах 2 и 3 части 2  статьи 49 Градостроительного кодекса Российской Федерации,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для последующего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предоставления жилых помещений для переселения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36"/>
        <w:numPr>
          <w:ilvl w:val="0"/>
          <w:numId w:val="42"/>
        </w:numPr>
        <w:ind w:left="0" w:firstLine="709"/>
        <w:jc w:val="both"/>
        <w:spacing w:after="0" w:line="240" w:lineRule="auto"/>
        <w:widowControl w:val="off"/>
        <w:tabs>
          <w:tab w:val="left" w:pos="1134" w:leader="none"/>
          <w:tab w:val="left" w:pos="2268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граждан из занимаемых по договорам социального найма жилых помещений, расположенных в аварийных МКД;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36"/>
        <w:numPr>
          <w:ilvl w:val="0"/>
          <w:numId w:val="42"/>
        </w:numPr>
        <w:ind w:left="0" w:firstLine="709"/>
        <w:jc w:val="both"/>
        <w:spacing w:after="0" w:line="240" w:lineRule="auto"/>
        <w:widowControl w:val="off"/>
        <w:tabs>
          <w:tab w:val="left" w:pos="1134" w:leader="none"/>
          <w:tab w:val="left" w:pos="2268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собственников жилых помещений, расположенных в аварийных МКД.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36"/>
        <w:ind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Жилые помещения предоставляются нанимателям в порядке и на условиях, предусмотренных разделами III и IV Жилищного кодекса Российской Федерации.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36"/>
        <w:ind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согласии собственника с ним заключается договор мены, в соответствии с которым ему предоставляется другое благоустроенное жилое помещение, равноценное освобождаемому жилому помещению.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36"/>
        <w:ind w:left="0" w:right="0" w:firstLine="709"/>
        <w:jc w:val="both"/>
        <w:spacing w:after="0" w:line="240" w:lineRule="auto"/>
        <w:widowControl w:val="off"/>
        <w:tabs>
          <w:tab w:val="left" w:pos="1134" w:leader="none"/>
        </w:tabs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15. Управление реализацией мероприятий муниципальной программы осуществляет ответственный исполнитель муниципальной программы.</w:t>
      </w:r>
      <w:r>
        <w:rPr>
          <w:sz w:val="26"/>
          <w:szCs w:val="26"/>
        </w:rPr>
      </w:r>
      <w:r/>
    </w:p>
    <w:p>
      <w:pPr>
        <w:pStyle w:val="936"/>
        <w:ind w:left="0" w:right="0" w:firstLine="709"/>
        <w:jc w:val="both"/>
        <w:spacing w:after="0" w:line="252" w:lineRule="auto"/>
        <w:tabs>
          <w:tab w:val="left" w:pos="1134" w:leader="none"/>
        </w:tabs>
        <w:rPr>
          <w:sz w:val="26"/>
          <w:szCs w:val="26"/>
        </w:rPr>
      </w:pPr>
      <w:r>
        <w:rPr>
          <w:color w:val="000000"/>
          <w:sz w:val="26"/>
          <w:szCs w:val="26"/>
          <w:lang w:eastAsia="ru-RU"/>
        </w:rPr>
        <w:t xml:space="preserve">Ответственный исполнитель, соисполнители муниципальной программы несут равную ответственность за реализацию мероприятий муниципальной  программы, уточняют сроки реализации мероприятий муниципальной программы и объемы их финансирования.</w:t>
      </w:r>
      <w:r>
        <w:rPr>
          <w:sz w:val="26"/>
          <w:szCs w:val="26"/>
        </w:rPr>
      </w:r>
      <w:r/>
    </w:p>
    <w:p>
      <w:pPr>
        <w:pStyle w:val="936"/>
        <w:ind w:left="0" w:right="0" w:firstLine="709"/>
        <w:jc w:val="both"/>
        <w:spacing w:after="0" w:line="240" w:lineRule="auto"/>
        <w:tabs>
          <w:tab w:val="left" w:pos="1134" w:leader="none"/>
        </w:tabs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Взаимодействие и отчетность осуществляются в соответствии с </w:t>
      </w:r>
      <w:r>
        <w:rPr>
          <w:sz w:val="26"/>
          <w:szCs w:val="26"/>
          <w:lang w:bidi="en-US"/>
        </w:rPr>
        <w:t xml:space="preserve">Порядк</w:t>
      </w:r>
      <w:r>
        <w:rPr>
          <w:sz w:val="26"/>
          <w:szCs w:val="26"/>
        </w:rPr>
        <w:t xml:space="preserve">ом</w:t>
      </w:r>
      <w:r>
        <w:rPr>
          <w:sz w:val="26"/>
          <w:szCs w:val="26"/>
        </w:rPr>
        <w:t xml:space="preserve"> принятия решений о разработке, формировании и реализации муниципальных программ </w:t>
      </w:r>
      <w:r>
        <w:rPr>
          <w:sz w:val="26"/>
          <w:szCs w:val="26"/>
        </w:rPr>
        <w:t xml:space="preserve">и </w:t>
      </w:r>
      <w:r>
        <w:rPr>
          <w:sz w:val="26"/>
          <w:szCs w:val="26"/>
        </w:rPr>
        <w:t xml:space="preserve">Порядк</w:t>
      </w:r>
      <w:r>
        <w:rPr>
          <w:sz w:val="26"/>
          <w:szCs w:val="26"/>
        </w:rPr>
        <w:t xml:space="preserve">ом</w:t>
      </w:r>
      <w:r>
        <w:rPr>
          <w:sz w:val="26"/>
          <w:szCs w:val="26"/>
        </w:rPr>
        <w:t xml:space="preserve"> разработки, утверждения, реализации, контроля и проведения оценки эффективности реализации муниципальных програ</w:t>
      </w:r>
      <w:r>
        <w:rPr>
          <w:sz w:val="26"/>
          <w:szCs w:val="26"/>
        </w:rPr>
        <w:t xml:space="preserve">мм Копейского городского округа</w:t>
      </w:r>
      <w:r>
        <w:rPr>
          <w:color w:val="000000"/>
          <w:sz w:val="26"/>
          <w:szCs w:val="26"/>
        </w:rPr>
        <w:t xml:space="preserve">, утвержденн</w:t>
      </w:r>
      <w:r>
        <w:rPr>
          <w:color w:val="000000"/>
          <w:sz w:val="26"/>
          <w:szCs w:val="26"/>
        </w:rPr>
        <w:t xml:space="preserve">ым</w:t>
      </w:r>
      <w:r>
        <w:rPr>
          <w:color w:val="000000"/>
          <w:sz w:val="26"/>
          <w:szCs w:val="26"/>
        </w:rPr>
        <w:t xml:space="preserve"> постановлением администрации </w:t>
      </w:r>
      <w:r>
        <w:rPr>
          <w:color w:val="000000"/>
          <w:sz w:val="26"/>
          <w:szCs w:val="26"/>
        </w:rPr>
        <w:t xml:space="preserve">Копейского </w:t>
      </w:r>
      <w:r>
        <w:rPr>
          <w:color w:val="000000"/>
          <w:sz w:val="26"/>
          <w:szCs w:val="26"/>
        </w:rPr>
        <w:t xml:space="preserve">городского округа от </w:t>
      </w:r>
      <w:r>
        <w:rPr>
          <w:sz w:val="26"/>
          <w:szCs w:val="26"/>
        </w:rPr>
        <w:t xml:space="preserve">25.04.2024 </w:t>
      </w:r>
      <w:r>
        <w:rPr>
          <w:sz w:val="26"/>
          <w:szCs w:val="26"/>
        </w:rPr>
        <w:t xml:space="preserve">№ </w:t>
      </w:r>
      <w:r>
        <w:rPr>
          <w:sz w:val="26"/>
          <w:szCs w:val="26"/>
        </w:rPr>
        <w:t xml:space="preserve">1098-п</w:t>
      </w:r>
      <w:r>
        <w:rPr>
          <w:color w:val="000000"/>
          <w:sz w:val="26"/>
          <w:szCs w:val="26"/>
        </w:rPr>
        <w:t xml:space="preserve">.</w:t>
      </w:r>
      <w:r>
        <w:rPr>
          <w:sz w:val="26"/>
          <w:szCs w:val="26"/>
        </w:rPr>
      </w:r>
      <w:r/>
    </w:p>
    <w:p>
      <w:pPr>
        <w:pStyle w:val="953"/>
        <w:ind w:left="0" w:right="0" w:firstLine="709"/>
        <w:jc w:val="both"/>
        <w:tabs>
          <w:tab w:val="left" w:pos="1134" w:leader="none"/>
        </w:tabs>
        <w:rPr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Ответственный исполнитель муниципальной программы совместно с соисполнителями готовит отчеты о ходе реал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изации муниципальной программы согласно Порядку р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азработки, утверждения, реализации, контроля и проведения  оценки эффективности реализации муниципальных программ Копейского городского округа, и направляет в управление экономического развития территории городского округа администрации городского округа. </w:t>
      </w:r>
      <w:r>
        <w:rPr>
          <w:sz w:val="26"/>
          <w:szCs w:val="26"/>
        </w:rPr>
      </w:r>
      <w:r/>
    </w:p>
    <w:p>
      <w:pPr>
        <w:ind w:firstLine="709"/>
        <w:jc w:val="both"/>
        <w:rPr>
          <w:rFonts w:ascii="Times New Roman" w:hAnsi="Times New Roman" w:cs="Times New Roman"/>
          <w:color w:val="auto"/>
          <w:spacing w:val="-1"/>
          <w:sz w:val="26"/>
          <w:szCs w:val="26"/>
        </w:rPr>
      </w:pPr>
      <w:r>
        <w:rPr>
          <w:rFonts w:ascii="Times New Roman" w:hAnsi="Times New Roman" w:cs="Times New Roman"/>
          <w:color w:val="auto"/>
          <w:spacing w:val="-1"/>
          <w:sz w:val="26"/>
          <w:szCs w:val="26"/>
        </w:rPr>
      </w:r>
      <w:r>
        <w:rPr>
          <w:rFonts w:ascii="Times New Roman" w:hAnsi="Times New Roman" w:cs="Times New Roman"/>
          <w:color w:val="auto"/>
          <w:spacing w:val="-1"/>
          <w:sz w:val="26"/>
          <w:szCs w:val="26"/>
        </w:rPr>
      </w:r>
      <w:r/>
    </w:p>
    <w:p>
      <w:pPr>
        <w:ind w:left="-142" w:firstLine="142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Adobe Fangsong Std R" w:cs="Times New Roman"/>
          <w:color w:val="auto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284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Adobe Fangsong Std R" w:cs="Times New Roman"/>
          <w:color w:val="auto"/>
          <w:sz w:val="26"/>
          <w:szCs w:val="26"/>
        </w:rPr>
        <w:t xml:space="preserve">Начальник отдела жилищной политики                                                        И.Д. Саевская</w:t>
      </w:r>
      <w:r>
        <w:rPr>
          <w:rFonts w:ascii="Times New Roman" w:hAnsi="Times New Roman" w:cs="Times New Roman"/>
          <w:sz w:val="26"/>
          <w:szCs w:val="26"/>
        </w:rPr>
      </w:r>
      <w:r/>
    </w:p>
    <w:sectPr>
      <w:headerReference w:type="default" r:id="rId9"/>
      <w:headerReference w:type="first" r:id="rId10"/>
      <w:footnotePr/>
      <w:endnotePr/>
      <w:type w:val="nextPage"/>
      <w:pgSz w:w="11906" w:h="16838" w:orient="portrait"/>
      <w:pgMar w:top="851" w:right="850" w:bottom="1134" w:left="1701" w:header="680" w:footer="680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</w:font>
  <w:font w:name="Wingdings">
    <w:panose1 w:val="05000000000000000000"/>
  </w:font>
  <w:font w:name="Adobe Fangsong Std R">
    <w:panose1 w:val="05050102010205020202"/>
  </w:font>
  <w:font w:name="Symbol">
    <w:panose1 w:val="05050102010706020507"/>
  </w:font>
  <w:font w:name="Calibri">
    <w:panose1 w:val="020F0502020204030204"/>
  </w:font>
  <w:font w:name="Courier New">
    <w:panose1 w:val="020703090202050204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2070794289"/>
      <w:docPartObj>
        <w:docPartGallery w:val="Page Numbers (Top of Page)"/>
        <w:docPartUnique w:val="true"/>
      </w:docPartObj>
      <w:rPr/>
    </w:sdtPr>
    <w:sdtContent>
      <w:p>
        <w:pPr>
          <w:pStyle w:val="941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5</w:t>
        </w:r>
        <w:r>
          <w:fldChar w:fldCharType="end"/>
        </w:r>
        <w:r/>
      </w:p>
    </w:sdtContent>
  </w:sdt>
  <w:p>
    <w:pPr>
      <w:pStyle w:val="94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1"/>
      <w:jc w:val="center"/>
    </w:pPr>
    <w:r/>
    <w:r/>
  </w:p>
  <w:p>
    <w:pPr>
      <w:pStyle w:val="94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1">
    <w:multiLevelType w:val="hybridMultilevel"/>
    <w:lvl w:ilvl="0">
      <w:start w:val="2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29" w:hanging="360"/>
      </w:pPr>
      <w:rPr>
        <w:rFonts w:hint="default" w:ascii="Sylfaen" w:hAnsi="Sylfae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110" w:hanging="40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29" w:hanging="360"/>
      </w:pPr>
      <w:rPr>
        <w:rFonts w:hint="default" w:ascii="Sylfaen" w:hAnsi="Sylfae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5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7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3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29" w:hanging="360"/>
      </w:pPr>
      <w:rPr>
        <w:rFonts w:hint="default" w:ascii="Sylfaen" w:hAnsi="Sylfae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Sylfaen" w:hAnsi="Sylfae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9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1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3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5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7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9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1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3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936"/>
        <w:ind w:left="2149" w:hanging="360"/>
        <w:tabs>
          <w:tab w:val="num" w:pos="0" w:leader="none"/>
        </w:tabs>
      </w:pPr>
      <w:rPr>
        <w:rFonts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36"/>
        <w:ind w:left="1779" w:hanging="360"/>
      </w:pPr>
      <w:rPr>
        <w:rFonts w:cs="Times New Roman"/>
        <w:szCs w:val="28"/>
      </w:rPr>
    </w:lvl>
    <w:lvl w:ilvl="1">
      <w:start w:val="1"/>
      <w:numFmt w:val="lowerLetter"/>
      <w:pStyle w:val="936"/>
      <w:isLgl w:val="false"/>
      <w:suff w:val="tab"/>
      <w:lvlText w:val="%2."/>
      <w:lvlJc w:val="left"/>
      <w:pPr>
        <w:pStyle w:val="936"/>
        <w:ind w:left="1789" w:hanging="360"/>
      </w:pPr>
    </w:lvl>
    <w:lvl w:ilvl="2">
      <w:start w:val="1"/>
      <w:numFmt w:val="lowerRoman"/>
      <w:pStyle w:val="936"/>
      <w:isLgl w:val="false"/>
      <w:suff w:val="tab"/>
      <w:lvlText w:val="%3."/>
      <w:lvlJc w:val="right"/>
      <w:pPr>
        <w:pStyle w:val="936"/>
        <w:ind w:left="2509" w:hanging="180"/>
      </w:pPr>
    </w:lvl>
    <w:lvl w:ilvl="3">
      <w:start w:val="1"/>
      <w:numFmt w:val="decimal"/>
      <w:pStyle w:val="936"/>
      <w:isLgl w:val="false"/>
      <w:suff w:val="tab"/>
      <w:lvlText w:val="%4."/>
      <w:lvlJc w:val="left"/>
      <w:pPr>
        <w:pStyle w:val="936"/>
        <w:ind w:left="3229" w:hanging="360"/>
      </w:pPr>
    </w:lvl>
    <w:lvl w:ilvl="4">
      <w:start w:val="1"/>
      <w:numFmt w:val="lowerLetter"/>
      <w:pStyle w:val="936"/>
      <w:isLgl w:val="false"/>
      <w:suff w:val="tab"/>
      <w:lvlText w:val="%5."/>
      <w:lvlJc w:val="left"/>
      <w:pPr>
        <w:pStyle w:val="936"/>
        <w:ind w:left="3949" w:hanging="360"/>
      </w:pPr>
    </w:lvl>
    <w:lvl w:ilvl="5">
      <w:start w:val="1"/>
      <w:numFmt w:val="lowerRoman"/>
      <w:pStyle w:val="936"/>
      <w:isLgl w:val="false"/>
      <w:suff w:val="tab"/>
      <w:lvlText w:val="%6."/>
      <w:lvlJc w:val="right"/>
      <w:pPr>
        <w:pStyle w:val="936"/>
        <w:ind w:left="4669" w:hanging="180"/>
      </w:pPr>
    </w:lvl>
    <w:lvl w:ilvl="6">
      <w:start w:val="1"/>
      <w:numFmt w:val="decimal"/>
      <w:pStyle w:val="936"/>
      <w:isLgl w:val="false"/>
      <w:suff w:val="tab"/>
      <w:lvlText w:val="%7."/>
      <w:lvlJc w:val="left"/>
      <w:pPr>
        <w:pStyle w:val="936"/>
        <w:ind w:left="5389" w:hanging="360"/>
      </w:pPr>
    </w:lvl>
    <w:lvl w:ilvl="7">
      <w:start w:val="1"/>
      <w:numFmt w:val="lowerLetter"/>
      <w:pStyle w:val="936"/>
      <w:isLgl w:val="false"/>
      <w:suff w:val="tab"/>
      <w:lvlText w:val="%8."/>
      <w:lvlJc w:val="left"/>
      <w:pPr>
        <w:pStyle w:val="936"/>
        <w:ind w:left="6109" w:hanging="360"/>
      </w:pPr>
    </w:lvl>
    <w:lvl w:ilvl="8">
      <w:start w:val="1"/>
      <w:numFmt w:val="lowerRoman"/>
      <w:pStyle w:val="936"/>
      <w:isLgl w:val="false"/>
      <w:suff w:val="tab"/>
      <w:lvlText w:val="%9."/>
      <w:lvlJc w:val="right"/>
      <w:pPr>
        <w:pStyle w:val="936"/>
        <w:ind w:left="6829" w:hanging="180"/>
      </w:p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936"/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936"/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36"/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36"/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36"/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36"/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36"/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36"/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36"/>
        <w:ind w:left="7189" w:hanging="360"/>
      </w:pPr>
      <w:rPr>
        <w:rFonts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36"/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36"/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36"/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36"/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36"/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36"/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36"/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36"/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36"/>
        <w:ind w:left="6829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36"/>
        <w:ind w:left="1571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36"/>
        <w:ind w:left="2149" w:hanging="360"/>
        <w:tabs>
          <w:tab w:val="num" w:pos="0" w:leader="none"/>
        </w:tabs>
      </w:pPr>
      <w:rPr>
        <w:szCs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36"/>
        <w:ind w:left="1779" w:hanging="360"/>
      </w:pPr>
      <w:rPr>
        <w:rFonts w:cs="Times New Roman"/>
        <w:szCs w:val="28"/>
      </w:rPr>
    </w:lvl>
    <w:lvl w:ilvl="1">
      <w:start w:val="1"/>
      <w:numFmt w:val="lowerLetter"/>
      <w:pStyle w:val="936"/>
      <w:isLgl w:val="false"/>
      <w:suff w:val="tab"/>
      <w:lvlText w:val="%2."/>
      <w:lvlJc w:val="left"/>
      <w:pPr>
        <w:pStyle w:val="936"/>
        <w:ind w:left="1789" w:hanging="360"/>
      </w:pPr>
    </w:lvl>
    <w:lvl w:ilvl="2">
      <w:start w:val="1"/>
      <w:numFmt w:val="lowerRoman"/>
      <w:pStyle w:val="936"/>
      <w:isLgl w:val="false"/>
      <w:suff w:val="tab"/>
      <w:lvlText w:val="%3."/>
      <w:lvlJc w:val="right"/>
      <w:pPr>
        <w:pStyle w:val="936"/>
        <w:ind w:left="2509" w:hanging="180"/>
      </w:pPr>
    </w:lvl>
    <w:lvl w:ilvl="3">
      <w:start w:val="1"/>
      <w:numFmt w:val="decimal"/>
      <w:pStyle w:val="936"/>
      <w:isLgl w:val="false"/>
      <w:suff w:val="tab"/>
      <w:lvlText w:val="%4."/>
      <w:lvlJc w:val="left"/>
      <w:pPr>
        <w:pStyle w:val="936"/>
        <w:ind w:left="3229" w:hanging="360"/>
      </w:pPr>
    </w:lvl>
    <w:lvl w:ilvl="4">
      <w:start w:val="1"/>
      <w:numFmt w:val="lowerLetter"/>
      <w:pStyle w:val="936"/>
      <w:isLgl w:val="false"/>
      <w:suff w:val="tab"/>
      <w:lvlText w:val="%5."/>
      <w:lvlJc w:val="left"/>
      <w:pPr>
        <w:pStyle w:val="936"/>
        <w:ind w:left="3949" w:hanging="360"/>
      </w:pPr>
    </w:lvl>
    <w:lvl w:ilvl="5">
      <w:start w:val="1"/>
      <w:numFmt w:val="lowerRoman"/>
      <w:pStyle w:val="936"/>
      <w:isLgl w:val="false"/>
      <w:suff w:val="tab"/>
      <w:lvlText w:val="%6."/>
      <w:lvlJc w:val="right"/>
      <w:pPr>
        <w:pStyle w:val="936"/>
        <w:ind w:left="4669" w:hanging="180"/>
      </w:pPr>
    </w:lvl>
    <w:lvl w:ilvl="6">
      <w:start w:val="1"/>
      <w:numFmt w:val="decimal"/>
      <w:pStyle w:val="936"/>
      <w:isLgl w:val="false"/>
      <w:suff w:val="tab"/>
      <w:lvlText w:val="%7."/>
      <w:lvlJc w:val="left"/>
      <w:pPr>
        <w:pStyle w:val="936"/>
        <w:ind w:left="5389" w:hanging="360"/>
      </w:pPr>
    </w:lvl>
    <w:lvl w:ilvl="7">
      <w:start w:val="1"/>
      <w:numFmt w:val="lowerLetter"/>
      <w:pStyle w:val="936"/>
      <w:isLgl w:val="false"/>
      <w:suff w:val="tab"/>
      <w:lvlText w:val="%8."/>
      <w:lvlJc w:val="left"/>
      <w:pPr>
        <w:pStyle w:val="936"/>
        <w:ind w:left="6109" w:hanging="360"/>
      </w:pPr>
    </w:lvl>
    <w:lvl w:ilvl="8">
      <w:start w:val="1"/>
      <w:numFmt w:val="lowerRoman"/>
      <w:pStyle w:val="936"/>
      <w:isLgl w:val="false"/>
      <w:suff w:val="tab"/>
      <w:lvlText w:val="%9."/>
      <w:lvlJc w:val="right"/>
      <w:pPr>
        <w:pStyle w:val="936"/>
        <w:ind w:left="6829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36"/>
        <w:ind w:left="1571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36"/>
        <w:ind w:left="2149" w:hanging="360"/>
        <w:tabs>
          <w:tab w:val="num" w:pos="0" w:leader="none"/>
        </w:tabs>
      </w:pPr>
      <w:rPr>
        <w:szCs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36"/>
        <w:ind w:left="1779" w:hanging="360"/>
      </w:pPr>
      <w:rPr>
        <w:rFonts w:cs="Times New Roman"/>
        <w:szCs w:val="28"/>
      </w:rPr>
    </w:lvl>
    <w:lvl w:ilvl="1">
      <w:start w:val="1"/>
      <w:numFmt w:val="lowerLetter"/>
      <w:pStyle w:val="936"/>
      <w:isLgl w:val="false"/>
      <w:suff w:val="tab"/>
      <w:lvlText w:val="%2."/>
      <w:lvlJc w:val="left"/>
      <w:pPr>
        <w:pStyle w:val="936"/>
        <w:ind w:left="1789" w:hanging="360"/>
      </w:pPr>
    </w:lvl>
    <w:lvl w:ilvl="2">
      <w:start w:val="1"/>
      <w:numFmt w:val="lowerRoman"/>
      <w:pStyle w:val="936"/>
      <w:isLgl w:val="false"/>
      <w:suff w:val="tab"/>
      <w:lvlText w:val="%3."/>
      <w:lvlJc w:val="right"/>
      <w:pPr>
        <w:pStyle w:val="936"/>
        <w:ind w:left="2509" w:hanging="180"/>
      </w:pPr>
    </w:lvl>
    <w:lvl w:ilvl="3">
      <w:start w:val="1"/>
      <w:numFmt w:val="decimal"/>
      <w:pStyle w:val="936"/>
      <w:isLgl w:val="false"/>
      <w:suff w:val="tab"/>
      <w:lvlText w:val="%4."/>
      <w:lvlJc w:val="left"/>
      <w:pPr>
        <w:pStyle w:val="936"/>
        <w:ind w:left="3229" w:hanging="360"/>
      </w:pPr>
    </w:lvl>
    <w:lvl w:ilvl="4">
      <w:start w:val="1"/>
      <w:numFmt w:val="lowerLetter"/>
      <w:pStyle w:val="936"/>
      <w:isLgl w:val="false"/>
      <w:suff w:val="tab"/>
      <w:lvlText w:val="%5."/>
      <w:lvlJc w:val="left"/>
      <w:pPr>
        <w:pStyle w:val="936"/>
        <w:ind w:left="3949" w:hanging="360"/>
      </w:pPr>
    </w:lvl>
    <w:lvl w:ilvl="5">
      <w:start w:val="1"/>
      <w:numFmt w:val="lowerRoman"/>
      <w:pStyle w:val="936"/>
      <w:isLgl w:val="false"/>
      <w:suff w:val="tab"/>
      <w:lvlText w:val="%6."/>
      <w:lvlJc w:val="right"/>
      <w:pPr>
        <w:pStyle w:val="936"/>
        <w:ind w:left="4669" w:hanging="180"/>
      </w:pPr>
    </w:lvl>
    <w:lvl w:ilvl="6">
      <w:start w:val="1"/>
      <w:numFmt w:val="decimal"/>
      <w:pStyle w:val="936"/>
      <w:isLgl w:val="false"/>
      <w:suff w:val="tab"/>
      <w:lvlText w:val="%7."/>
      <w:lvlJc w:val="left"/>
      <w:pPr>
        <w:pStyle w:val="936"/>
        <w:ind w:left="5389" w:hanging="360"/>
      </w:pPr>
    </w:lvl>
    <w:lvl w:ilvl="7">
      <w:start w:val="1"/>
      <w:numFmt w:val="lowerLetter"/>
      <w:pStyle w:val="936"/>
      <w:isLgl w:val="false"/>
      <w:suff w:val="tab"/>
      <w:lvlText w:val="%8."/>
      <w:lvlJc w:val="left"/>
      <w:pPr>
        <w:pStyle w:val="936"/>
        <w:ind w:left="6109" w:hanging="360"/>
      </w:pPr>
    </w:lvl>
    <w:lvl w:ilvl="8">
      <w:start w:val="1"/>
      <w:numFmt w:val="lowerRoman"/>
      <w:pStyle w:val="936"/>
      <w:isLgl w:val="false"/>
      <w:suff w:val="tab"/>
      <w:lvlText w:val="%9."/>
      <w:lvlJc w:val="right"/>
      <w:pPr>
        <w:pStyle w:val="936"/>
        <w:ind w:left="6829" w:hanging="180"/>
      </w:p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936"/>
        <w:ind w:left="720" w:hanging="360"/>
        <w:tabs>
          <w:tab w:val="num" w:pos="0" w:leader="none"/>
        </w:tabs>
      </w:pPr>
      <w:rPr>
        <w:rFonts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936"/>
        <w:ind w:left="2149" w:hanging="360"/>
        <w:tabs>
          <w:tab w:val="num" w:pos="0" w:leader="none"/>
        </w:tabs>
      </w:pPr>
      <w:rPr>
        <w:rFonts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936"/>
        <w:ind w:left="1429" w:hanging="360"/>
        <w:tabs>
          <w:tab w:val="num" w:pos="0" w:leader="none"/>
        </w:tabs>
      </w:pPr>
      <w:rPr>
        <w:rFonts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36"/>
        <w:ind w:left="1779" w:hanging="360"/>
      </w:pPr>
      <w:rPr>
        <w:rFonts w:cs="Times New Roman"/>
        <w:szCs w:val="28"/>
      </w:rPr>
    </w:lvl>
    <w:lvl w:ilvl="1">
      <w:start w:val="1"/>
      <w:numFmt w:val="lowerLetter"/>
      <w:pStyle w:val="936"/>
      <w:isLgl w:val="false"/>
      <w:suff w:val="tab"/>
      <w:lvlText w:val="%2."/>
      <w:lvlJc w:val="left"/>
      <w:pPr>
        <w:pStyle w:val="936"/>
        <w:ind w:left="1789" w:hanging="360"/>
      </w:pPr>
    </w:lvl>
    <w:lvl w:ilvl="2">
      <w:start w:val="1"/>
      <w:numFmt w:val="lowerRoman"/>
      <w:pStyle w:val="936"/>
      <w:isLgl w:val="false"/>
      <w:suff w:val="tab"/>
      <w:lvlText w:val="%3."/>
      <w:lvlJc w:val="right"/>
      <w:pPr>
        <w:pStyle w:val="936"/>
        <w:ind w:left="2509" w:hanging="180"/>
      </w:pPr>
    </w:lvl>
    <w:lvl w:ilvl="3">
      <w:start w:val="1"/>
      <w:numFmt w:val="decimal"/>
      <w:pStyle w:val="936"/>
      <w:isLgl w:val="false"/>
      <w:suff w:val="tab"/>
      <w:lvlText w:val="%4."/>
      <w:lvlJc w:val="left"/>
      <w:pPr>
        <w:pStyle w:val="936"/>
        <w:ind w:left="3229" w:hanging="360"/>
      </w:pPr>
    </w:lvl>
    <w:lvl w:ilvl="4">
      <w:start w:val="1"/>
      <w:numFmt w:val="lowerLetter"/>
      <w:pStyle w:val="936"/>
      <w:isLgl w:val="false"/>
      <w:suff w:val="tab"/>
      <w:lvlText w:val="%5."/>
      <w:lvlJc w:val="left"/>
      <w:pPr>
        <w:pStyle w:val="936"/>
        <w:ind w:left="3949" w:hanging="360"/>
      </w:pPr>
    </w:lvl>
    <w:lvl w:ilvl="5">
      <w:start w:val="1"/>
      <w:numFmt w:val="lowerRoman"/>
      <w:pStyle w:val="936"/>
      <w:isLgl w:val="false"/>
      <w:suff w:val="tab"/>
      <w:lvlText w:val="%6."/>
      <w:lvlJc w:val="right"/>
      <w:pPr>
        <w:pStyle w:val="936"/>
        <w:ind w:left="4669" w:hanging="180"/>
      </w:pPr>
    </w:lvl>
    <w:lvl w:ilvl="6">
      <w:start w:val="1"/>
      <w:numFmt w:val="decimal"/>
      <w:pStyle w:val="936"/>
      <w:isLgl w:val="false"/>
      <w:suff w:val="tab"/>
      <w:lvlText w:val="%7."/>
      <w:lvlJc w:val="left"/>
      <w:pPr>
        <w:pStyle w:val="936"/>
        <w:ind w:left="5389" w:hanging="360"/>
      </w:pPr>
    </w:lvl>
    <w:lvl w:ilvl="7">
      <w:start w:val="1"/>
      <w:numFmt w:val="lowerLetter"/>
      <w:pStyle w:val="936"/>
      <w:isLgl w:val="false"/>
      <w:suff w:val="tab"/>
      <w:lvlText w:val="%8."/>
      <w:lvlJc w:val="left"/>
      <w:pPr>
        <w:pStyle w:val="936"/>
        <w:ind w:left="6109" w:hanging="360"/>
      </w:pPr>
    </w:lvl>
    <w:lvl w:ilvl="8">
      <w:start w:val="1"/>
      <w:numFmt w:val="lowerRoman"/>
      <w:pStyle w:val="936"/>
      <w:isLgl w:val="false"/>
      <w:suff w:val="tab"/>
      <w:lvlText w:val="%9."/>
      <w:lvlJc w:val="right"/>
      <w:pPr>
        <w:pStyle w:val="936"/>
        <w:ind w:left="6829" w:hanging="18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36"/>
        <w:ind w:left="1779" w:hanging="360"/>
      </w:pPr>
      <w:rPr>
        <w:rFonts w:cs="Times New Roman"/>
        <w:szCs w:val="28"/>
      </w:rPr>
    </w:lvl>
    <w:lvl w:ilvl="1">
      <w:start w:val="1"/>
      <w:numFmt w:val="lowerLetter"/>
      <w:pStyle w:val="936"/>
      <w:isLgl w:val="false"/>
      <w:suff w:val="tab"/>
      <w:lvlText w:val="%2."/>
      <w:lvlJc w:val="left"/>
      <w:pPr>
        <w:pStyle w:val="936"/>
        <w:ind w:left="1789" w:hanging="360"/>
      </w:pPr>
    </w:lvl>
    <w:lvl w:ilvl="2">
      <w:start w:val="1"/>
      <w:numFmt w:val="lowerRoman"/>
      <w:pStyle w:val="936"/>
      <w:isLgl w:val="false"/>
      <w:suff w:val="tab"/>
      <w:lvlText w:val="%3."/>
      <w:lvlJc w:val="right"/>
      <w:pPr>
        <w:pStyle w:val="936"/>
        <w:ind w:left="2509" w:hanging="180"/>
      </w:pPr>
    </w:lvl>
    <w:lvl w:ilvl="3">
      <w:start w:val="1"/>
      <w:numFmt w:val="decimal"/>
      <w:pStyle w:val="936"/>
      <w:isLgl w:val="false"/>
      <w:suff w:val="tab"/>
      <w:lvlText w:val="%4."/>
      <w:lvlJc w:val="left"/>
      <w:pPr>
        <w:pStyle w:val="936"/>
        <w:ind w:left="3229" w:hanging="360"/>
      </w:pPr>
    </w:lvl>
    <w:lvl w:ilvl="4">
      <w:start w:val="1"/>
      <w:numFmt w:val="lowerLetter"/>
      <w:pStyle w:val="936"/>
      <w:isLgl w:val="false"/>
      <w:suff w:val="tab"/>
      <w:lvlText w:val="%5."/>
      <w:lvlJc w:val="left"/>
      <w:pPr>
        <w:pStyle w:val="936"/>
        <w:ind w:left="3949" w:hanging="360"/>
      </w:pPr>
    </w:lvl>
    <w:lvl w:ilvl="5">
      <w:start w:val="1"/>
      <w:numFmt w:val="lowerRoman"/>
      <w:pStyle w:val="936"/>
      <w:isLgl w:val="false"/>
      <w:suff w:val="tab"/>
      <w:lvlText w:val="%6."/>
      <w:lvlJc w:val="right"/>
      <w:pPr>
        <w:pStyle w:val="936"/>
        <w:ind w:left="4669" w:hanging="180"/>
      </w:pPr>
    </w:lvl>
    <w:lvl w:ilvl="6">
      <w:start w:val="1"/>
      <w:numFmt w:val="decimal"/>
      <w:pStyle w:val="936"/>
      <w:isLgl w:val="false"/>
      <w:suff w:val="tab"/>
      <w:lvlText w:val="%7."/>
      <w:lvlJc w:val="left"/>
      <w:pPr>
        <w:pStyle w:val="936"/>
        <w:ind w:left="5389" w:hanging="360"/>
      </w:pPr>
    </w:lvl>
    <w:lvl w:ilvl="7">
      <w:start w:val="1"/>
      <w:numFmt w:val="lowerLetter"/>
      <w:pStyle w:val="936"/>
      <w:isLgl w:val="false"/>
      <w:suff w:val="tab"/>
      <w:lvlText w:val="%8."/>
      <w:lvlJc w:val="left"/>
      <w:pPr>
        <w:pStyle w:val="936"/>
        <w:ind w:left="6109" w:hanging="360"/>
      </w:pPr>
    </w:lvl>
    <w:lvl w:ilvl="8">
      <w:start w:val="1"/>
      <w:numFmt w:val="lowerRoman"/>
      <w:pStyle w:val="936"/>
      <w:isLgl w:val="false"/>
      <w:suff w:val="tab"/>
      <w:lvlText w:val="%9."/>
      <w:lvlJc w:val="right"/>
      <w:pPr>
        <w:pStyle w:val="936"/>
        <w:ind w:left="6829" w:hanging="180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num w:numId="1">
    <w:abstractNumId w:val="26"/>
  </w:num>
  <w:num w:numId="2">
    <w:abstractNumId w:val="25"/>
  </w:num>
  <w:num w:numId="3">
    <w:abstractNumId w:val="11"/>
  </w:num>
  <w:num w:numId="4">
    <w:abstractNumId w:val="12"/>
  </w:num>
  <w:num w:numId="5">
    <w:abstractNumId w:val="20"/>
  </w:num>
  <w:num w:numId="6">
    <w:abstractNumId w:val="19"/>
  </w:num>
  <w:num w:numId="7">
    <w:abstractNumId w:val="16"/>
  </w:num>
  <w:num w:numId="8">
    <w:abstractNumId w:val="24"/>
  </w:num>
  <w:num w:numId="9">
    <w:abstractNumId w:val="9"/>
  </w:num>
  <w:num w:numId="10">
    <w:abstractNumId w:val="13"/>
  </w:num>
  <w:num w:numId="11">
    <w:abstractNumId w:val="23"/>
  </w:num>
  <w:num w:numId="12">
    <w:abstractNumId w:val="2"/>
  </w:num>
  <w:num w:numId="13">
    <w:abstractNumId w:val="8"/>
  </w:num>
  <w:num w:numId="14">
    <w:abstractNumId w:val="15"/>
  </w:num>
  <w:num w:numId="15">
    <w:abstractNumId w:val="18"/>
  </w:num>
  <w:num w:numId="16">
    <w:abstractNumId w:val="6"/>
  </w:num>
  <w:num w:numId="17">
    <w:abstractNumId w:val="22"/>
  </w:num>
  <w:num w:numId="18">
    <w:abstractNumId w:val="4"/>
  </w:num>
  <w:num w:numId="19">
    <w:abstractNumId w:val="5"/>
  </w:num>
  <w:num w:numId="20">
    <w:abstractNumId w:val="0"/>
  </w:num>
  <w:num w:numId="21">
    <w:abstractNumId w:val="17"/>
  </w:num>
  <w:num w:numId="22">
    <w:abstractNumId w:val="7"/>
  </w:num>
  <w:num w:numId="23">
    <w:abstractNumId w:val="14"/>
  </w:num>
  <w:num w:numId="24">
    <w:abstractNumId w:val="1"/>
  </w:num>
  <w:num w:numId="25">
    <w:abstractNumId w:val="10"/>
  </w:num>
  <w:num w:numId="26">
    <w:abstractNumId w:val="3"/>
  </w:num>
  <w:num w:numId="27">
    <w:abstractNumId w:val="21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64">
    <w:name w:val="Heading 1"/>
    <w:basedOn w:val="936"/>
    <w:next w:val="936"/>
    <w:link w:val="76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65">
    <w:name w:val="Heading 1 Char"/>
    <w:basedOn w:val="937"/>
    <w:link w:val="764"/>
    <w:uiPriority w:val="9"/>
    <w:rPr>
      <w:rFonts w:ascii="Arial" w:hAnsi="Arial" w:eastAsia="Arial" w:cs="Arial"/>
      <w:sz w:val="40"/>
      <w:szCs w:val="40"/>
    </w:rPr>
  </w:style>
  <w:style w:type="paragraph" w:styleId="766">
    <w:name w:val="Heading 2"/>
    <w:basedOn w:val="936"/>
    <w:next w:val="936"/>
    <w:link w:val="76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67">
    <w:name w:val="Heading 2 Char"/>
    <w:basedOn w:val="937"/>
    <w:link w:val="766"/>
    <w:uiPriority w:val="9"/>
    <w:rPr>
      <w:rFonts w:ascii="Arial" w:hAnsi="Arial" w:eastAsia="Arial" w:cs="Arial"/>
      <w:sz w:val="34"/>
    </w:rPr>
  </w:style>
  <w:style w:type="paragraph" w:styleId="768">
    <w:name w:val="Heading 3"/>
    <w:basedOn w:val="936"/>
    <w:next w:val="936"/>
    <w:link w:val="76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69">
    <w:name w:val="Heading 3 Char"/>
    <w:basedOn w:val="937"/>
    <w:link w:val="768"/>
    <w:uiPriority w:val="9"/>
    <w:rPr>
      <w:rFonts w:ascii="Arial" w:hAnsi="Arial" w:eastAsia="Arial" w:cs="Arial"/>
      <w:sz w:val="30"/>
      <w:szCs w:val="30"/>
    </w:rPr>
  </w:style>
  <w:style w:type="paragraph" w:styleId="770">
    <w:name w:val="Heading 4"/>
    <w:basedOn w:val="936"/>
    <w:next w:val="936"/>
    <w:link w:val="77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71">
    <w:name w:val="Heading 4 Char"/>
    <w:basedOn w:val="937"/>
    <w:link w:val="770"/>
    <w:uiPriority w:val="9"/>
    <w:rPr>
      <w:rFonts w:ascii="Arial" w:hAnsi="Arial" w:eastAsia="Arial" w:cs="Arial"/>
      <w:b/>
      <w:bCs/>
      <w:sz w:val="26"/>
      <w:szCs w:val="26"/>
    </w:rPr>
  </w:style>
  <w:style w:type="paragraph" w:styleId="772">
    <w:name w:val="Heading 5"/>
    <w:basedOn w:val="936"/>
    <w:next w:val="936"/>
    <w:link w:val="77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73">
    <w:name w:val="Heading 5 Char"/>
    <w:basedOn w:val="937"/>
    <w:link w:val="772"/>
    <w:uiPriority w:val="9"/>
    <w:rPr>
      <w:rFonts w:ascii="Arial" w:hAnsi="Arial" w:eastAsia="Arial" w:cs="Arial"/>
      <w:b/>
      <w:bCs/>
      <w:sz w:val="24"/>
      <w:szCs w:val="24"/>
    </w:rPr>
  </w:style>
  <w:style w:type="paragraph" w:styleId="774">
    <w:name w:val="Heading 6"/>
    <w:basedOn w:val="936"/>
    <w:next w:val="936"/>
    <w:link w:val="77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75">
    <w:name w:val="Heading 6 Char"/>
    <w:basedOn w:val="937"/>
    <w:link w:val="774"/>
    <w:uiPriority w:val="9"/>
    <w:rPr>
      <w:rFonts w:ascii="Arial" w:hAnsi="Arial" w:eastAsia="Arial" w:cs="Arial"/>
      <w:b/>
      <w:bCs/>
      <w:sz w:val="22"/>
      <w:szCs w:val="22"/>
    </w:rPr>
  </w:style>
  <w:style w:type="paragraph" w:styleId="776">
    <w:name w:val="Heading 7"/>
    <w:basedOn w:val="936"/>
    <w:next w:val="936"/>
    <w:link w:val="77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77">
    <w:name w:val="Heading 7 Char"/>
    <w:basedOn w:val="937"/>
    <w:link w:val="7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78">
    <w:name w:val="Heading 8"/>
    <w:basedOn w:val="936"/>
    <w:next w:val="936"/>
    <w:link w:val="77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79">
    <w:name w:val="Heading 8 Char"/>
    <w:basedOn w:val="937"/>
    <w:link w:val="778"/>
    <w:uiPriority w:val="9"/>
    <w:rPr>
      <w:rFonts w:ascii="Arial" w:hAnsi="Arial" w:eastAsia="Arial" w:cs="Arial"/>
      <w:i/>
      <w:iCs/>
      <w:sz w:val="22"/>
      <w:szCs w:val="22"/>
    </w:rPr>
  </w:style>
  <w:style w:type="paragraph" w:styleId="780">
    <w:name w:val="Heading 9"/>
    <w:basedOn w:val="936"/>
    <w:next w:val="936"/>
    <w:link w:val="78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81">
    <w:name w:val="Heading 9 Char"/>
    <w:basedOn w:val="937"/>
    <w:link w:val="780"/>
    <w:uiPriority w:val="9"/>
    <w:rPr>
      <w:rFonts w:ascii="Arial" w:hAnsi="Arial" w:eastAsia="Arial" w:cs="Arial"/>
      <w:i/>
      <w:iCs/>
      <w:sz w:val="21"/>
      <w:szCs w:val="21"/>
    </w:rPr>
  </w:style>
  <w:style w:type="paragraph" w:styleId="782">
    <w:name w:val="Title"/>
    <w:basedOn w:val="936"/>
    <w:next w:val="936"/>
    <w:link w:val="78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83">
    <w:name w:val="Title Char"/>
    <w:basedOn w:val="937"/>
    <w:link w:val="782"/>
    <w:uiPriority w:val="10"/>
    <w:rPr>
      <w:sz w:val="48"/>
      <w:szCs w:val="48"/>
    </w:rPr>
  </w:style>
  <w:style w:type="paragraph" w:styleId="784">
    <w:name w:val="Subtitle"/>
    <w:basedOn w:val="936"/>
    <w:next w:val="936"/>
    <w:link w:val="785"/>
    <w:uiPriority w:val="11"/>
    <w:qFormat/>
    <w:pPr>
      <w:spacing w:before="200" w:after="200"/>
    </w:pPr>
    <w:rPr>
      <w:sz w:val="24"/>
      <w:szCs w:val="24"/>
    </w:rPr>
  </w:style>
  <w:style w:type="character" w:styleId="785">
    <w:name w:val="Subtitle Char"/>
    <w:basedOn w:val="937"/>
    <w:link w:val="784"/>
    <w:uiPriority w:val="11"/>
    <w:rPr>
      <w:sz w:val="24"/>
      <w:szCs w:val="24"/>
    </w:rPr>
  </w:style>
  <w:style w:type="paragraph" w:styleId="786">
    <w:name w:val="Quote"/>
    <w:basedOn w:val="936"/>
    <w:next w:val="936"/>
    <w:link w:val="787"/>
    <w:uiPriority w:val="29"/>
    <w:qFormat/>
    <w:pPr>
      <w:ind w:left="720" w:right="720"/>
    </w:pPr>
    <w:rPr>
      <w:i/>
    </w:rPr>
  </w:style>
  <w:style w:type="character" w:styleId="787">
    <w:name w:val="Quote Char"/>
    <w:link w:val="786"/>
    <w:uiPriority w:val="29"/>
    <w:rPr>
      <w:i/>
    </w:rPr>
  </w:style>
  <w:style w:type="paragraph" w:styleId="788">
    <w:name w:val="Intense Quote"/>
    <w:basedOn w:val="936"/>
    <w:next w:val="936"/>
    <w:link w:val="78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9">
    <w:name w:val="Intense Quote Char"/>
    <w:link w:val="788"/>
    <w:uiPriority w:val="30"/>
    <w:rPr>
      <w:i/>
    </w:rPr>
  </w:style>
  <w:style w:type="character" w:styleId="790">
    <w:name w:val="Header Char"/>
    <w:basedOn w:val="937"/>
    <w:link w:val="941"/>
    <w:uiPriority w:val="99"/>
  </w:style>
  <w:style w:type="character" w:styleId="791">
    <w:name w:val="Footer Char"/>
    <w:basedOn w:val="937"/>
    <w:link w:val="943"/>
    <w:uiPriority w:val="99"/>
  </w:style>
  <w:style w:type="paragraph" w:styleId="792">
    <w:name w:val="Caption"/>
    <w:basedOn w:val="936"/>
    <w:next w:val="93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93">
    <w:name w:val="Caption Char"/>
    <w:basedOn w:val="792"/>
    <w:link w:val="943"/>
    <w:uiPriority w:val="99"/>
  </w:style>
  <w:style w:type="table" w:styleId="794">
    <w:name w:val="Table Grid Light"/>
    <w:basedOn w:val="9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5">
    <w:name w:val="Plain Table 1"/>
    <w:basedOn w:val="9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6">
    <w:name w:val="Plain Table 2"/>
    <w:basedOn w:val="93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7">
    <w:name w:val="Plain Table 3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8">
    <w:name w:val="Plain Table 4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Plain Table 5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0">
    <w:name w:val="Grid Table 1 Light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Grid Table 1 Light - Accent 1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Grid Table 1 Light - Accent 2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Grid Table 1 Light - Accent 3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Grid Table 1 Light - Accent 4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Grid Table 1 Light - Accent 5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Grid Table 1 Light - Accent 6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Grid Table 2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2 - Accent 1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2 - Accent 2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2 - Accent 3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2 - Accent 4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2 - Accent 5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2 - Accent 6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3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3 - Accent 1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3 - Accent 2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3 - Accent 3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3 - Accent 4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3 - Accent 5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3 - Accent 6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4"/>
    <w:basedOn w:val="9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2">
    <w:name w:val="Grid Table 4 - Accent 1"/>
    <w:basedOn w:val="9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23">
    <w:name w:val="Grid Table 4 - Accent 2"/>
    <w:basedOn w:val="9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24">
    <w:name w:val="Grid Table 4 - Accent 3"/>
    <w:basedOn w:val="9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25">
    <w:name w:val="Grid Table 4 - Accent 4"/>
    <w:basedOn w:val="9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6">
    <w:name w:val="Grid Table 4 - Accent 5"/>
    <w:basedOn w:val="9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7">
    <w:name w:val="Grid Table 4 - Accent 6"/>
    <w:basedOn w:val="9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8">
    <w:name w:val="Grid Table 5 Dark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9">
    <w:name w:val="Grid Table 5 Dark- Accent 1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30">
    <w:name w:val="Grid Table 5 Dark - Accent 2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31">
    <w:name w:val="Grid Table 5 Dark - Accent 3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32">
    <w:name w:val="Grid Table 5 Dark- Accent 4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33">
    <w:name w:val="Grid Table 5 Dark - Accent 5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34">
    <w:name w:val="Grid Table 5 Dark - Accent 6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35">
    <w:name w:val="Grid Table 6 Colorful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36">
    <w:name w:val="Grid Table 6 Colorful - Accent 1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37">
    <w:name w:val="Grid Table 6 Colorful - Accent 2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38">
    <w:name w:val="Grid Table 6 Colorful - Accent 3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39">
    <w:name w:val="Grid Table 6 Colorful - Accent 4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40">
    <w:name w:val="Grid Table 6 Colorful - Accent 5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1">
    <w:name w:val="Grid Table 6 Colorful - Accent 6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2">
    <w:name w:val="Grid Table 7 Colorful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7 Colorful - Accent 1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7 Colorful - Accent 2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7 Colorful - Accent 3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7 Colorful - Accent 4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7 Colorful - Accent 5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7 Colorful - Accent 6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List Table 1 Light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List Table 1 Light - Accent 1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List Table 1 Light - Accent 2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List Table 1 Light - Accent 3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List Table 1 Light - Accent 4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List Table 1 Light - Accent 5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List Table 1 Light - Accent 6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List Table 2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57">
    <w:name w:val="List Table 2 - Accent 1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58">
    <w:name w:val="List Table 2 - Accent 2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59">
    <w:name w:val="List Table 2 - Accent 3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60">
    <w:name w:val="List Table 2 - Accent 4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61">
    <w:name w:val="List Table 2 - Accent 5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62">
    <w:name w:val="List Table 2 - Accent 6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63">
    <w:name w:val="List Table 3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3 - Accent 1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3 - Accent 2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3 - Accent 3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3 - Accent 4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3 - Accent 5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3 - Accent 6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4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4 - Accent 1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4 - Accent 2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4 - Accent 3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4 - Accent 4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4 - Accent 5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4 - Accent 6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5 Dark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8">
    <w:name w:val="List Table 5 Dark - Accent 1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9">
    <w:name w:val="List Table 5 Dark - Accent 2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0">
    <w:name w:val="List Table 5 Dark - Accent 3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1">
    <w:name w:val="List Table 5 Dark - Accent 4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2">
    <w:name w:val="List Table 5 Dark - Accent 5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3">
    <w:name w:val="List Table 5 Dark - Accent 6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4">
    <w:name w:val="List Table 6 Colorful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85">
    <w:name w:val="List Table 6 Colorful - Accent 1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86">
    <w:name w:val="List Table 6 Colorful - Accent 2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87">
    <w:name w:val="List Table 6 Colorful - Accent 3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88">
    <w:name w:val="List Table 6 Colorful - Accent 4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89">
    <w:name w:val="List Table 6 Colorful - Accent 5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90">
    <w:name w:val="List Table 6 Colorful - Accent 6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91">
    <w:name w:val="List Table 7 Colorful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92">
    <w:name w:val="List Table 7 Colorful - Accent 1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93">
    <w:name w:val="List Table 7 Colorful - Accent 2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94">
    <w:name w:val="List Table 7 Colorful - Accent 3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95">
    <w:name w:val="List Table 7 Colorful - Accent 4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96">
    <w:name w:val="List Table 7 Colorful - Accent 5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97">
    <w:name w:val="List Table 7 Colorful - Accent 6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98">
    <w:name w:val="Lined - Accent"/>
    <w:basedOn w:val="9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9">
    <w:name w:val="Lined - Accent 1"/>
    <w:basedOn w:val="9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0">
    <w:name w:val="Lined - Accent 2"/>
    <w:basedOn w:val="9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1">
    <w:name w:val="Lined - Accent 3"/>
    <w:basedOn w:val="9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2">
    <w:name w:val="Lined - Accent 4"/>
    <w:basedOn w:val="9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03">
    <w:name w:val="Lined - Accent 5"/>
    <w:basedOn w:val="9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04">
    <w:name w:val="Lined - Accent 6"/>
    <w:basedOn w:val="9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05">
    <w:name w:val="Bordered &amp; Lined - Accent"/>
    <w:basedOn w:val="9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6">
    <w:name w:val="Bordered &amp; Lined - Accent 1"/>
    <w:basedOn w:val="9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7">
    <w:name w:val="Bordered &amp; Lined - Accent 2"/>
    <w:basedOn w:val="9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8">
    <w:name w:val="Bordered &amp; Lined - Accent 3"/>
    <w:basedOn w:val="9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9">
    <w:name w:val="Bordered &amp; Lined - Accent 4"/>
    <w:basedOn w:val="9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10">
    <w:name w:val="Bordered &amp; Lined - Accent 5"/>
    <w:basedOn w:val="9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11">
    <w:name w:val="Bordered &amp; Lined - Accent 6"/>
    <w:basedOn w:val="9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12">
    <w:name w:val="Bordered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13">
    <w:name w:val="Bordered - Accent 1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14">
    <w:name w:val="Bordered - Accent 2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15">
    <w:name w:val="Bordered - Accent 3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16">
    <w:name w:val="Bordered - Accent 4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17">
    <w:name w:val="Bordered - Accent 5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18">
    <w:name w:val="Bordered - Accent 6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919">
    <w:name w:val="footnote text"/>
    <w:basedOn w:val="936"/>
    <w:link w:val="920"/>
    <w:uiPriority w:val="99"/>
    <w:semiHidden/>
    <w:unhideWhenUsed/>
    <w:pPr>
      <w:spacing w:after="40" w:line="240" w:lineRule="auto"/>
    </w:pPr>
    <w:rPr>
      <w:sz w:val="18"/>
    </w:rPr>
  </w:style>
  <w:style w:type="character" w:styleId="920">
    <w:name w:val="Footnote Text Char"/>
    <w:link w:val="919"/>
    <w:uiPriority w:val="99"/>
    <w:rPr>
      <w:sz w:val="18"/>
    </w:rPr>
  </w:style>
  <w:style w:type="character" w:styleId="921">
    <w:name w:val="footnote reference"/>
    <w:basedOn w:val="937"/>
    <w:uiPriority w:val="99"/>
    <w:unhideWhenUsed/>
    <w:rPr>
      <w:vertAlign w:val="superscript"/>
    </w:rPr>
  </w:style>
  <w:style w:type="paragraph" w:styleId="922">
    <w:name w:val="endnote text"/>
    <w:basedOn w:val="936"/>
    <w:link w:val="923"/>
    <w:uiPriority w:val="99"/>
    <w:semiHidden/>
    <w:unhideWhenUsed/>
    <w:pPr>
      <w:spacing w:after="0" w:line="240" w:lineRule="auto"/>
    </w:pPr>
    <w:rPr>
      <w:sz w:val="20"/>
    </w:rPr>
  </w:style>
  <w:style w:type="character" w:styleId="923">
    <w:name w:val="Endnote Text Char"/>
    <w:link w:val="922"/>
    <w:uiPriority w:val="99"/>
    <w:rPr>
      <w:sz w:val="20"/>
    </w:rPr>
  </w:style>
  <w:style w:type="character" w:styleId="924">
    <w:name w:val="endnote reference"/>
    <w:basedOn w:val="937"/>
    <w:uiPriority w:val="99"/>
    <w:semiHidden/>
    <w:unhideWhenUsed/>
    <w:rPr>
      <w:vertAlign w:val="superscript"/>
    </w:rPr>
  </w:style>
  <w:style w:type="paragraph" w:styleId="925">
    <w:name w:val="toc 1"/>
    <w:basedOn w:val="936"/>
    <w:next w:val="936"/>
    <w:uiPriority w:val="39"/>
    <w:unhideWhenUsed/>
    <w:pPr>
      <w:ind w:left="0" w:right="0" w:firstLine="0"/>
      <w:spacing w:after="57"/>
    </w:pPr>
  </w:style>
  <w:style w:type="paragraph" w:styleId="926">
    <w:name w:val="toc 2"/>
    <w:basedOn w:val="936"/>
    <w:next w:val="936"/>
    <w:uiPriority w:val="39"/>
    <w:unhideWhenUsed/>
    <w:pPr>
      <w:ind w:left="283" w:right="0" w:firstLine="0"/>
      <w:spacing w:after="57"/>
    </w:pPr>
  </w:style>
  <w:style w:type="paragraph" w:styleId="927">
    <w:name w:val="toc 3"/>
    <w:basedOn w:val="936"/>
    <w:next w:val="936"/>
    <w:uiPriority w:val="39"/>
    <w:unhideWhenUsed/>
    <w:pPr>
      <w:ind w:left="567" w:right="0" w:firstLine="0"/>
      <w:spacing w:after="57"/>
    </w:pPr>
  </w:style>
  <w:style w:type="paragraph" w:styleId="928">
    <w:name w:val="toc 4"/>
    <w:basedOn w:val="936"/>
    <w:next w:val="936"/>
    <w:uiPriority w:val="39"/>
    <w:unhideWhenUsed/>
    <w:pPr>
      <w:ind w:left="850" w:right="0" w:firstLine="0"/>
      <w:spacing w:after="57"/>
    </w:pPr>
  </w:style>
  <w:style w:type="paragraph" w:styleId="929">
    <w:name w:val="toc 5"/>
    <w:basedOn w:val="936"/>
    <w:next w:val="936"/>
    <w:uiPriority w:val="39"/>
    <w:unhideWhenUsed/>
    <w:pPr>
      <w:ind w:left="1134" w:right="0" w:firstLine="0"/>
      <w:spacing w:after="57"/>
    </w:pPr>
  </w:style>
  <w:style w:type="paragraph" w:styleId="930">
    <w:name w:val="toc 6"/>
    <w:basedOn w:val="936"/>
    <w:next w:val="936"/>
    <w:uiPriority w:val="39"/>
    <w:unhideWhenUsed/>
    <w:pPr>
      <w:ind w:left="1417" w:right="0" w:firstLine="0"/>
      <w:spacing w:after="57"/>
    </w:pPr>
  </w:style>
  <w:style w:type="paragraph" w:styleId="931">
    <w:name w:val="toc 7"/>
    <w:basedOn w:val="936"/>
    <w:next w:val="936"/>
    <w:uiPriority w:val="39"/>
    <w:unhideWhenUsed/>
    <w:pPr>
      <w:ind w:left="1701" w:right="0" w:firstLine="0"/>
      <w:spacing w:after="57"/>
    </w:pPr>
  </w:style>
  <w:style w:type="paragraph" w:styleId="932">
    <w:name w:val="toc 8"/>
    <w:basedOn w:val="936"/>
    <w:next w:val="936"/>
    <w:uiPriority w:val="39"/>
    <w:unhideWhenUsed/>
    <w:pPr>
      <w:ind w:left="1984" w:right="0" w:firstLine="0"/>
      <w:spacing w:after="57"/>
    </w:pPr>
  </w:style>
  <w:style w:type="paragraph" w:styleId="933">
    <w:name w:val="toc 9"/>
    <w:basedOn w:val="936"/>
    <w:next w:val="936"/>
    <w:uiPriority w:val="39"/>
    <w:unhideWhenUsed/>
    <w:pPr>
      <w:ind w:left="2268" w:right="0" w:firstLine="0"/>
      <w:spacing w:after="57"/>
    </w:pPr>
  </w:style>
  <w:style w:type="paragraph" w:styleId="934">
    <w:name w:val="TOC Heading"/>
    <w:uiPriority w:val="39"/>
    <w:unhideWhenUsed/>
  </w:style>
  <w:style w:type="paragraph" w:styleId="935">
    <w:name w:val="table of figures"/>
    <w:basedOn w:val="936"/>
    <w:next w:val="936"/>
    <w:uiPriority w:val="99"/>
    <w:unhideWhenUsed/>
    <w:pPr>
      <w:spacing w:after="0" w:afterAutospacing="0"/>
    </w:pPr>
  </w:style>
  <w:style w:type="paragraph" w:styleId="936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bCs/>
      <w:color w:val="000000"/>
      <w:sz w:val="24"/>
      <w:szCs w:val="24"/>
      <w:lang w:eastAsia="ru-RU"/>
    </w:rPr>
  </w:style>
  <w:style w:type="character" w:styleId="937" w:default="1">
    <w:name w:val="Default Paragraph Font"/>
    <w:uiPriority w:val="1"/>
    <w:semiHidden/>
    <w:unhideWhenUsed/>
  </w:style>
  <w:style w:type="table" w:styleId="93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39" w:default="1">
    <w:name w:val="No List"/>
    <w:uiPriority w:val="99"/>
    <w:semiHidden/>
    <w:unhideWhenUsed/>
  </w:style>
  <w:style w:type="table" w:styleId="940">
    <w:name w:val="Table Grid"/>
    <w:basedOn w:val="93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41">
    <w:name w:val="Header"/>
    <w:basedOn w:val="936"/>
    <w:link w:val="942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42" w:customStyle="1">
    <w:name w:val="Верхний колонтитул Знак"/>
    <w:basedOn w:val="937"/>
    <w:link w:val="941"/>
    <w:uiPriority w:val="99"/>
    <w:rPr>
      <w:rFonts w:ascii="Times New Roman" w:hAnsi="Times New Roman" w:eastAsia="Times New Roman" w:cs="Times New Roman"/>
      <w:bCs/>
      <w:color w:val="000000"/>
      <w:sz w:val="24"/>
      <w:szCs w:val="24"/>
      <w:lang w:eastAsia="ru-RU"/>
    </w:rPr>
  </w:style>
  <w:style w:type="paragraph" w:styleId="943">
    <w:name w:val="Footer"/>
    <w:basedOn w:val="936"/>
    <w:link w:val="94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44" w:customStyle="1">
    <w:name w:val="Нижний колонтитул Знак"/>
    <w:basedOn w:val="937"/>
    <w:link w:val="943"/>
    <w:uiPriority w:val="99"/>
    <w:rPr>
      <w:rFonts w:ascii="Times New Roman" w:hAnsi="Times New Roman" w:eastAsia="Times New Roman" w:cs="Times New Roman"/>
      <w:bCs/>
      <w:color w:val="000000"/>
      <w:sz w:val="24"/>
      <w:szCs w:val="24"/>
      <w:lang w:eastAsia="ru-RU"/>
    </w:rPr>
  </w:style>
  <w:style w:type="paragraph" w:styleId="945">
    <w:name w:val="Balloon Text"/>
    <w:basedOn w:val="936"/>
    <w:link w:val="946"/>
    <w:uiPriority w:val="99"/>
    <w:semiHidden/>
    <w:unhideWhenUsed/>
    <w:rPr>
      <w:rFonts w:ascii="Tahoma" w:hAnsi="Tahoma" w:cs="Tahoma"/>
      <w:sz w:val="16"/>
      <w:szCs w:val="16"/>
    </w:rPr>
  </w:style>
  <w:style w:type="character" w:styleId="946" w:customStyle="1">
    <w:name w:val="Текст выноски Знак"/>
    <w:basedOn w:val="937"/>
    <w:link w:val="945"/>
    <w:uiPriority w:val="99"/>
    <w:semiHidden/>
    <w:rPr>
      <w:rFonts w:ascii="Tahoma" w:hAnsi="Tahoma" w:eastAsia="Times New Roman" w:cs="Tahoma"/>
      <w:bCs/>
      <w:color w:val="000000"/>
      <w:sz w:val="16"/>
      <w:szCs w:val="16"/>
      <w:lang w:eastAsia="ru-RU"/>
    </w:rPr>
  </w:style>
  <w:style w:type="paragraph" w:styleId="947">
    <w:name w:val="HTML Preformatted"/>
    <w:basedOn w:val="936"/>
    <w:link w:val="948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/>
      <w:bCs w:val="0"/>
      <w:color w:val="auto"/>
      <w:sz w:val="20"/>
      <w:szCs w:val="20"/>
    </w:rPr>
  </w:style>
  <w:style w:type="character" w:styleId="948" w:customStyle="1">
    <w:name w:val="Стандартный HTML Знак"/>
    <w:basedOn w:val="937"/>
    <w:link w:val="947"/>
    <w:rPr>
      <w:rFonts w:ascii="Courier New" w:hAnsi="Courier New" w:eastAsia="Times New Roman" w:cs="Times New Roman"/>
      <w:sz w:val="20"/>
      <w:szCs w:val="20"/>
    </w:rPr>
  </w:style>
  <w:style w:type="paragraph" w:styleId="949">
    <w:name w:val="List Paragraph"/>
    <w:basedOn w:val="936"/>
    <w:uiPriority w:val="34"/>
    <w:qFormat/>
    <w:pPr>
      <w:contextualSpacing/>
      <w:ind w:left="720"/>
    </w:pPr>
  </w:style>
  <w:style w:type="paragraph" w:styleId="950">
    <w:name w:val="Body Text 2"/>
    <w:basedOn w:val="936"/>
    <w:link w:val="951"/>
    <w:pPr>
      <w:ind w:firstLine="567"/>
      <w:jc w:val="both"/>
    </w:pPr>
    <w:rPr>
      <w:bCs w:val="0"/>
      <w:color w:val="auto"/>
      <w:sz w:val="28"/>
      <w:szCs w:val="20"/>
    </w:rPr>
  </w:style>
  <w:style w:type="character" w:styleId="951" w:customStyle="1">
    <w:name w:val="Основной текст 2 Знак"/>
    <w:basedOn w:val="937"/>
    <w:link w:val="950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952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953" w:customStyle="1">
    <w:name w:val="ConsPlusNormal"/>
    <w:link w:val="960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954" w:customStyle="1">
    <w:name w:val="ConsPlusCell"/>
    <w:uiPriority w:val="99"/>
    <w:qFormat/>
    <w:pPr>
      <w:spacing w:after="0" w:line="240" w:lineRule="auto"/>
      <w:widowControl w:val="off"/>
    </w:pPr>
    <w:rPr>
      <w:rFonts w:ascii="Calibri" w:hAnsi="Calibri" w:eastAsia="Times New Roman" w:cs="Calibri"/>
      <w:lang w:eastAsia="ru-RU"/>
    </w:rPr>
  </w:style>
  <w:style w:type="paragraph" w:styleId="955" w:customStyle="1">
    <w:name w:val="Style3"/>
    <w:basedOn w:val="936"/>
    <w:pPr>
      <w:widowControl w:val="off"/>
    </w:pPr>
    <w:rPr>
      <w:bCs w:val="0"/>
      <w:color w:val="auto"/>
    </w:rPr>
  </w:style>
  <w:style w:type="paragraph" w:styleId="956" w:customStyle="1">
    <w:name w:val="consplusnormal"/>
    <w:basedOn w:val="936"/>
    <w:pPr>
      <w:spacing w:before="100" w:beforeAutospacing="1" w:after="100" w:afterAutospacing="1"/>
    </w:pPr>
    <w:rPr>
      <w:bCs w:val="0"/>
      <w:color w:val="auto"/>
    </w:rPr>
  </w:style>
  <w:style w:type="paragraph" w:styleId="957">
    <w:name w:val="No Spacing"/>
    <w:link w:val="959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bCs/>
      <w:color w:val="000000"/>
      <w:sz w:val="24"/>
      <w:szCs w:val="24"/>
      <w:lang w:eastAsia="ru-RU"/>
    </w:rPr>
  </w:style>
  <w:style w:type="paragraph" w:styleId="958">
    <w:name w:val="Normal (Web)"/>
    <w:basedOn w:val="936"/>
    <w:uiPriority w:val="99"/>
    <w:unhideWhenUsed/>
    <w:pPr>
      <w:spacing w:before="100" w:beforeAutospacing="1" w:after="100" w:afterAutospacing="1"/>
    </w:pPr>
    <w:rPr>
      <w:bCs w:val="0"/>
      <w:color w:val="auto"/>
    </w:rPr>
  </w:style>
  <w:style w:type="character" w:styleId="959" w:customStyle="1">
    <w:name w:val="Без интервала Знак"/>
    <w:basedOn w:val="937"/>
    <w:link w:val="957"/>
    <w:uiPriority w:val="1"/>
    <w:rPr>
      <w:rFonts w:ascii="Times New Roman" w:hAnsi="Times New Roman" w:eastAsia="Times New Roman" w:cs="Times New Roman"/>
      <w:bCs/>
      <w:color w:val="000000"/>
      <w:sz w:val="24"/>
      <w:szCs w:val="24"/>
      <w:lang w:eastAsia="ru-RU"/>
    </w:rPr>
  </w:style>
  <w:style w:type="character" w:styleId="960" w:customStyle="1">
    <w:name w:val="ConsPlusNormal Знак"/>
    <w:link w:val="953"/>
    <w:rPr>
      <w:rFonts w:ascii="Arial" w:hAnsi="Arial" w:eastAsia="Times New Roman" w:cs="Arial"/>
      <w:sz w:val="20"/>
      <w:szCs w:val="20"/>
      <w:lang w:eastAsia="ru-RU"/>
    </w:rPr>
  </w:style>
  <w:style w:type="paragraph" w:styleId="961" w:customStyle="1">
    <w:name w:val="Default"/>
    <w:uiPriority w:val="99"/>
    <w:pPr>
      <w:spacing w:after="0" w:line="240" w:lineRule="auto"/>
    </w:pPr>
    <w:rPr>
      <w:rFonts w:ascii="Times New Roman" w:hAnsi="Times New Roman" w:eastAsia="Calibri" w:cs="Times New Roman"/>
      <w:color w:val="000000"/>
      <w:sz w:val="24"/>
      <w:szCs w:val="24"/>
      <w:lang w:eastAsia="ru-RU"/>
    </w:rPr>
  </w:style>
  <w:style w:type="character" w:styleId="962">
    <w:name w:val="Hyperlink"/>
    <w:basedOn w:val="937"/>
    <w:uiPriority w:val="99"/>
    <w:unhideWhenUsed/>
    <w:rPr>
      <w:color w:val="0000ff"/>
      <w:u w:val="single"/>
    </w:rPr>
  </w:style>
  <w:style w:type="character" w:styleId="963" w:customStyle="1">
    <w:name w:val="fontstyle01"/>
    <w:basedOn w:val="937"/>
    <w:rPr>
      <w:rFonts w:hint="default" w:ascii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paragraph" w:styleId="964" w:customStyle="1">
    <w:name w:val="Заголовок 1"/>
    <w:basedOn w:val="952"/>
    <w:next w:val="952"/>
    <w:link w:val="952"/>
    <w:qFormat/>
    <w:pPr>
      <w:numPr>
        <w:ilvl w:val="0"/>
        <w:numId w:val="0"/>
      </w:numPr>
      <w:contextualSpacing w:val="0"/>
      <w:ind w:left="0" w:right="0" w:firstLine="0"/>
      <w:jc w:val="center"/>
      <w:keepLines/>
      <w:keepNext/>
      <w:pageBreakBefore w:val="0"/>
      <w:spacing w:before="0" w:beforeAutospacing="0" w:after="0" w:afterAutospacing="0" w:line="276" w:lineRule="auto"/>
      <w:shd w:val="nil" w:color="000000"/>
      <w:widowControl/>
      <w:tabs>
        <w:tab w:val="num" w:pos="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" w:hAnsi="Times New Roman" w:eastAsia="Times New Roman" w:cs="Times New Roman"/>
      <w:b w:val="0"/>
      <w:bCs/>
      <w:i w:val="0"/>
      <w:iCs w:val="0"/>
      <w:caps w:val="0"/>
      <w:smallCaps w:val="0"/>
      <w:strike w:val="0"/>
      <w:vanish w:val="0"/>
      <w:color w:val="365f91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CFD55-E55E-42ED-B331-EDDB72E8E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Р7-Офис/7.3.3.0</Application>
  <Company>Romeo1994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Кустова Ольга Валерьевна</dc:creator>
  <cp:revision>147</cp:revision>
  <dcterms:created xsi:type="dcterms:W3CDTF">2023-10-06T03:36:00Z</dcterms:created>
  <dcterms:modified xsi:type="dcterms:W3CDTF">2024-10-09T04:29:47Z</dcterms:modified>
</cp:coreProperties>
</file>